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eastAsia="黑体"/>
          <w:b/>
          <w:color w:val="auto"/>
          <w:sz w:val="28"/>
          <w:lang w:val="en-US" w:eastAsia="zh-CN"/>
        </w:rPr>
      </w:pPr>
      <w:r>
        <w:rPr>
          <w:rFonts w:hint="eastAsia" w:eastAsia="黑体"/>
          <w:b/>
          <w:color w:val="auto"/>
          <w:sz w:val="28"/>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7"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auto"/>
          <w:sz w:val="36"/>
        </w:rPr>
      </w:pPr>
    </w:p>
    <w:p>
      <w:pPr>
        <w:jc w:val="right"/>
        <w:rPr>
          <w:rFonts w:eastAsia="黑体"/>
          <w:b/>
          <w:color w:val="auto"/>
          <w:sz w:val="36"/>
        </w:rPr>
      </w:pPr>
    </w:p>
    <w:p>
      <w:pPr>
        <w:rPr>
          <w:color w:val="auto"/>
        </w:rPr>
      </w:pPr>
    </w:p>
    <w:p>
      <w:pPr>
        <w:rPr>
          <w:color w:val="auto"/>
        </w:rPr>
      </w:pPr>
    </w:p>
    <w:p>
      <w:pPr>
        <w:rPr>
          <w:color w:val="auto"/>
        </w:rPr>
      </w:pPr>
    </w:p>
    <w:p>
      <w:pPr>
        <w:jc w:val="center"/>
        <w:rPr>
          <w:rFonts w:ascii="黑体" w:eastAsia="黑体"/>
          <w:b/>
          <w:color w:val="auto"/>
          <w:sz w:val="72"/>
          <w:szCs w:val="32"/>
        </w:rPr>
      </w:pPr>
      <w:r>
        <w:rPr>
          <w:rFonts w:hint="eastAsia" w:ascii="黑体" w:eastAsia="黑体"/>
          <w:b/>
          <w:color w:val="auto"/>
          <w:sz w:val="72"/>
          <w:szCs w:val="32"/>
        </w:rPr>
        <w:t>东莞市政府采购</w:t>
      </w:r>
    </w:p>
    <w:p>
      <w:pPr>
        <w:jc w:val="center"/>
        <w:rPr>
          <w:b/>
          <w:color w:val="auto"/>
          <w:sz w:val="72"/>
          <w:szCs w:val="32"/>
        </w:rPr>
      </w:pPr>
      <w:r>
        <w:rPr>
          <w:rFonts w:hint="eastAsia" w:ascii="黑体" w:eastAsia="黑体"/>
          <w:b/>
          <w:color w:val="auto"/>
          <w:sz w:val="72"/>
          <w:szCs w:val="32"/>
        </w:rPr>
        <w:t>公开招标文件</w:t>
      </w:r>
    </w:p>
    <w:p>
      <w:pPr>
        <w:jc w:val="center"/>
        <w:rPr>
          <w:color w:val="auto"/>
        </w:rPr>
      </w:pPr>
    </w:p>
    <w:p>
      <w:pPr>
        <w:jc w:val="center"/>
        <w:rPr>
          <w:color w:val="auto"/>
        </w:rPr>
      </w:pPr>
    </w:p>
    <w:p>
      <w:pPr>
        <w:rPr>
          <w:color w:val="auto"/>
        </w:rPr>
      </w:pPr>
    </w:p>
    <w:p>
      <w:pPr>
        <w:rPr>
          <w:rFonts w:ascii="Arial" w:hAnsi="Arial" w:eastAsia="黑体" w:cs="Arial"/>
          <w:bCs/>
          <w:color w:val="auto"/>
          <w:sz w:val="44"/>
        </w:rPr>
      </w:pPr>
      <w:r>
        <w:rPr>
          <w:rFonts w:ascii="Arial" w:hAnsi="Arial" w:eastAsia="黑体" w:cs="Arial"/>
          <w:bCs/>
          <w:color w:val="auto"/>
          <w:sz w:val="44"/>
        </w:rPr>
        <w:t>项目名称：</w:t>
      </w:r>
      <w:r>
        <w:rPr>
          <w:rFonts w:hint="eastAsia" w:ascii="Arial" w:hAnsi="Arial" w:eastAsia="黑体" w:cs="Arial"/>
          <w:bCs/>
          <w:color w:val="auto"/>
          <w:sz w:val="44"/>
          <w:lang w:eastAsia="zh-CN"/>
        </w:rPr>
        <w:t>东莞市公安局塘厦分局350M数字集群对讲机采购项目</w:t>
      </w:r>
      <w:r>
        <w:rPr>
          <w:rFonts w:ascii="Arial" w:hAnsi="Arial" w:eastAsia="黑体" w:cs="Arial"/>
          <w:bCs/>
          <w:color w:val="auto"/>
          <w:sz w:val="44"/>
        </w:rPr>
        <w:t xml:space="preserve"> </w:t>
      </w:r>
    </w:p>
    <w:p>
      <w:pPr>
        <w:rPr>
          <w:rFonts w:ascii="Arial" w:hAnsi="Arial" w:eastAsia="黑体" w:cs="Arial"/>
          <w:bCs/>
          <w:color w:val="auto"/>
          <w:sz w:val="44"/>
        </w:rPr>
      </w:pPr>
      <w:r>
        <w:rPr>
          <w:rFonts w:ascii="Arial" w:hAnsi="Arial" w:eastAsia="黑体" w:cs="Arial"/>
          <w:bCs/>
          <w:color w:val="auto"/>
          <w:sz w:val="44"/>
        </w:rPr>
        <w:t>采购编号：</w:t>
      </w:r>
      <w:r>
        <w:rPr>
          <w:rFonts w:hint="eastAsia" w:ascii="Arial" w:hAnsi="Arial" w:eastAsia="黑体" w:cs="Arial"/>
          <w:bCs/>
          <w:color w:val="auto"/>
          <w:sz w:val="44"/>
        </w:rPr>
        <w:t>441900-22-201808-22050101-0009</w:t>
      </w:r>
      <w:r>
        <w:rPr>
          <w:rFonts w:ascii="Arial" w:hAnsi="Arial" w:eastAsia="黑体" w:cs="Arial"/>
          <w:bCs/>
          <w:color w:val="auto"/>
          <w:sz w:val="44"/>
        </w:rPr>
        <w:t xml:space="preserve"> </w:t>
      </w:r>
    </w:p>
    <w:p>
      <w:pPr>
        <w:rPr>
          <w:rFonts w:ascii="Arial" w:hAnsi="Arial" w:eastAsia="黑体" w:cs="Arial"/>
          <w:bCs/>
          <w:color w:val="auto"/>
          <w:sz w:val="28"/>
        </w:rPr>
      </w:pPr>
      <w:r>
        <w:rPr>
          <w:rFonts w:hint="eastAsia" w:ascii="Arial" w:hAnsi="Arial" w:eastAsia="黑体" w:cs="Arial"/>
          <w:bCs/>
          <w:color w:val="auto"/>
          <w:sz w:val="44"/>
        </w:rPr>
        <w:t>采购人</w:t>
      </w:r>
      <w:r>
        <w:rPr>
          <w:rFonts w:ascii="Arial" w:hAnsi="Arial" w:eastAsia="黑体" w:cs="Arial"/>
          <w:bCs/>
          <w:color w:val="auto"/>
          <w:sz w:val="44"/>
        </w:rPr>
        <w:t>：</w:t>
      </w:r>
      <w:r>
        <w:rPr>
          <w:rFonts w:hint="eastAsia" w:ascii="Arial" w:hAnsi="Arial" w:eastAsia="黑体" w:cs="Arial"/>
          <w:bCs/>
          <w:color w:val="auto"/>
          <w:sz w:val="44"/>
          <w:lang w:eastAsia="zh-CN"/>
        </w:rPr>
        <w:t>东莞市公安局塘厦分局</w:t>
      </w:r>
      <w:r>
        <w:rPr>
          <w:rFonts w:hint="eastAsia" w:ascii="Arial" w:hAnsi="Arial" w:eastAsia="黑体" w:cs="Arial"/>
          <w:bCs/>
          <w:color w:val="auto"/>
          <w:sz w:val="28"/>
        </w:rPr>
        <w:t xml:space="preserve"> </w:t>
      </w:r>
    </w:p>
    <w:p>
      <w:pPr>
        <w:jc w:val="center"/>
        <w:rPr>
          <w:rFonts w:ascii="黑体" w:eastAsia="黑体"/>
          <w:color w:val="auto"/>
          <w:szCs w:val="21"/>
        </w:rPr>
      </w:pPr>
    </w:p>
    <w:p>
      <w:pPr>
        <w:jc w:val="center"/>
        <w:rPr>
          <w:rFonts w:ascii="黑体" w:eastAsia="黑体"/>
          <w:color w:val="auto"/>
          <w:szCs w:val="21"/>
        </w:rPr>
      </w:pPr>
    </w:p>
    <w:p>
      <w:pPr>
        <w:jc w:val="both"/>
        <w:rPr>
          <w:rFonts w:ascii="黑体" w:eastAsia="黑体"/>
          <w:color w:val="auto"/>
          <w:szCs w:val="21"/>
        </w:rPr>
      </w:pPr>
    </w:p>
    <w:p>
      <w:pPr>
        <w:jc w:val="center"/>
        <w:rPr>
          <w:rFonts w:ascii="黑体" w:eastAsia="黑体"/>
          <w:color w:val="auto"/>
          <w:szCs w:val="21"/>
        </w:rPr>
      </w:pPr>
    </w:p>
    <w:p>
      <w:pPr>
        <w:jc w:val="center"/>
        <w:rPr>
          <w:rFonts w:ascii="黑体" w:eastAsia="黑体"/>
          <w:color w:val="auto"/>
          <w:sz w:val="52"/>
          <w:szCs w:val="44"/>
        </w:rPr>
      </w:pPr>
      <w:r>
        <w:rPr>
          <w:rFonts w:hint="eastAsia" w:ascii="黑体" w:eastAsia="黑体"/>
          <w:color w:val="auto"/>
          <w:sz w:val="52"/>
          <w:szCs w:val="44"/>
        </w:rPr>
        <w:t>广东三方诚信招标有限公司</w:t>
      </w:r>
    </w:p>
    <w:p>
      <w:pPr>
        <w:pStyle w:val="12"/>
        <w:rPr>
          <w:rFonts w:hint="eastAsia"/>
          <w:color w:val="auto"/>
          <w:sz w:val="32"/>
          <w:szCs w:val="32"/>
        </w:rPr>
        <w:sectPr>
          <w:headerReference r:id="rId3" w:type="default"/>
          <w:pgSz w:w="11906" w:h="16838"/>
          <w:pgMar w:top="1440" w:right="1800" w:bottom="1440" w:left="1800" w:header="708" w:footer="708" w:gutter="0"/>
          <w:pgNumType w:start="0"/>
          <w:cols w:space="708" w:num="1"/>
          <w:titlePg/>
          <w:docGrid w:type="lines" w:linePitch="360" w:charSpace="0"/>
        </w:sectPr>
      </w:pPr>
    </w:p>
    <w:p>
      <w:pPr>
        <w:pStyle w:val="12"/>
        <w:rPr>
          <w:color w:val="auto"/>
          <w:sz w:val="40"/>
          <w:szCs w:val="40"/>
        </w:rPr>
      </w:pPr>
      <w:r>
        <w:rPr>
          <w:rFonts w:hint="eastAsia"/>
          <w:color w:val="auto"/>
          <w:sz w:val="40"/>
          <w:szCs w:val="40"/>
        </w:rPr>
        <w:t>目录</w:t>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TOC \o "1-4" \h \z \u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_Toc4059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第一部分 投标邀请</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_Toc4059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_Toc32516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投标邀请书</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_Toc32516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_Toc8017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第二部分 投标资料表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_Toc8017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_Toc31486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第三部分 用户需求书</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_Toc31486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_Toc31825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第四部分 投标人须知</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_Toc31825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22</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_Toc25557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一、说明</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_Toc25557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_Toc23664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1.适用范围</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_Toc23664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_Toc607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2.定义</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_Toc607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_Toc18884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3.货物和服务</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_Toc18884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_Toc20142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4.投标费用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_Toc20142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_Toc23183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5.知识产权</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_Toc23183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_Toc9016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6.关于联合体投标</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_Toc9016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_Toc4041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7.关于分公司投标</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_Toc4041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_Toc5156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二、招标文件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_Toc5156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_Toc4061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8.招标文件的组成</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_Toc4061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_Toc3463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9.招标文件的澄清或修改</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_Toc3463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_Toc24699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三、投标文件的编制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_Toc24699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_Toc26745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10.投标文件的语言及度量衡单位</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_Toc26745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_Toc24541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11.投标文件的组成</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_Toc24541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_Toc21963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12.投标文件编制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_Toc21963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_Toc290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13.投标报价说明</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_Toc290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_Toc13156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14.投标人所提供的服务或货物的证明文件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_Toc13156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_Toc11452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15.投标有效期</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_Toc11452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_Toc18829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16.投标保证金</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_Toc18829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_Toc27898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四、投标文件的递交</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_Toc27898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_Toc6081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17.投标文件的装订，签署，密封和标记</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_Toc6081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_Toc4150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18.迟交的投标文件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_Toc4150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28</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_Toc21676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19.投标样品（如需提交）</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_Toc21676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28</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_Toc30007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20.投标截止期</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_Toc30007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_Toc9094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21.投标文件的补充、修改与撤回</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_Toc9094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_Toc7096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五、开标与评标</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_Toc7096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_Toc20722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22.开标</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_Toc20722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_Toc8773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23.评标委员会及评标方法</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_Toc8773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_Toc15353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24.评审原则及评标过程的保密</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_Toc15353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_Toc25538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25.投标文件的初审</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_Toc25538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_Toc29674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26.商务、技术、价格评审（具体评审项目详见投标资料表）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_Toc29674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32</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_Toc14932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27.优惠政策</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_Toc14932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_Toc6688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28.纪律和保密事项</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_Toc6688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_Toc23184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六、授予合同</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_Toc23184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_Toc20214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29．合同授予标准</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_Toc20214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_Toc4372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30．发布中标结果</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_Toc4372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_Toc27513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31.合同的签订与履行</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_Toc27513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_Toc15865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32.履约保证金</w:t>
      </w:r>
      <w:r>
        <w:rPr>
          <w:rFonts w:hint="eastAsia" w:ascii="宋体" w:hAnsi="宋体" w:eastAsia="宋体" w:cs="宋体"/>
          <w:color w:val="auto"/>
          <w:sz w:val="22"/>
          <w:szCs w:val="22"/>
          <w:lang w:eastAsia="zh-CN"/>
        </w:rPr>
        <w:t>（如有需要）</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_Toc15865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_Toc5532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七、询问或质疑</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_Toc5532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_Toc1213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33.询问</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_Toc1213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_Toc27372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34.质疑</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_Toc27372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_Toc7319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八、其他</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_Toc7319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_Toc7713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35.招标文件的解释权</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_Toc7713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_Toc19539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第五部分 合同格式（仅供参考）</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_Toc19539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37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_Toc13864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第六部分  附件－投标文件格式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_Toc13864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_Toc20569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附件1.投标文件目录</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_Toc20569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41</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_Toc31528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附件1-1 评分标准索引表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_Toc31528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42</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_Toc25159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附件2</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投标书格式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_Toc25159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_Toc15156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.开标一览表格式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_Toc15156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_Toc30397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.投标分项报价表格式</w:t>
      </w:r>
      <w:r>
        <w:rPr>
          <w:rFonts w:hint="eastAsia" w:ascii="宋体" w:hAnsi="宋体" w:eastAsia="宋体" w:cs="宋体"/>
          <w:color w:val="auto"/>
          <w:sz w:val="22"/>
          <w:szCs w:val="22"/>
          <w:lang w:eastAsia="zh-CN"/>
        </w:rPr>
        <w:t>（如有需要）</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_Toc30397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_Toc23970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.法定代表人证明书格式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_Toc23970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_Toc22310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.法定代表人授权书格式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_Toc22310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49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_Toc12273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.投标人基本情况</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_Toc12273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_Toc9662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eastAsia="zh-CN"/>
        </w:rPr>
        <w:t>附件</w:t>
      </w:r>
      <w:r>
        <w:rPr>
          <w:rFonts w:hint="eastAsia" w:ascii="宋体" w:hAnsi="宋体" w:eastAsia="宋体" w:cs="宋体"/>
          <w:color w:val="auto"/>
          <w:sz w:val="22"/>
          <w:szCs w:val="22"/>
          <w:lang w:val="en-US" w:eastAsia="zh-CN"/>
        </w:rPr>
        <w:t>8.营业执照</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_Toc9662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51</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_Toc12211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val="en-US" w:eastAsia="zh-CN"/>
        </w:rPr>
        <w:t>附件9.相关资质证明文件</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_Toc12211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52</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_Toc2517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.商务条款偏离表格式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_Toc2517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_Toc18677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.技术规格偏离表格式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_Toc18677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54</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_Toc17351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eastAsia="zh-CN"/>
        </w:rPr>
        <w:t>附件</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lang w:eastAsia="zh-CN"/>
        </w:rPr>
        <w:t>重要技术参数（</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）响应表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_Toc17351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55</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_Toc328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lang w:eastAsia="zh-CN"/>
        </w:rPr>
        <w:t>附件</w:t>
      </w:r>
      <w:r>
        <w:rPr>
          <w:rFonts w:hint="eastAsia" w:ascii="宋体" w:hAnsi="宋体" w:eastAsia="宋体" w:cs="宋体"/>
          <w:color w:val="auto"/>
          <w:sz w:val="22"/>
          <w:szCs w:val="22"/>
          <w:lang w:val="en-US" w:eastAsia="zh-CN"/>
        </w:rPr>
        <w:t>13.</w:t>
      </w:r>
      <w:r>
        <w:rPr>
          <w:rFonts w:hint="eastAsia" w:ascii="宋体" w:hAnsi="宋体" w:eastAsia="宋体" w:cs="宋体"/>
          <w:color w:val="auto"/>
          <w:sz w:val="22"/>
          <w:szCs w:val="22"/>
          <w:lang w:eastAsia="zh-CN"/>
        </w:rPr>
        <w:t>业绩表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_Toc328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56</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_Toc25973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.项目实施方案格式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_Toc25973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57</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_Toc9811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.实施本项目的有关人员资料表格式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_Toc9811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58</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_Toc30582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附件1</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.投标货物说明一览表格式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_Toc30582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59</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_Toc29959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17</w:t>
      </w:r>
      <w:r>
        <w:rPr>
          <w:rFonts w:hint="eastAsia" w:ascii="宋体" w:hAnsi="宋体" w:eastAsia="宋体" w:cs="宋体"/>
          <w:color w:val="auto"/>
          <w:sz w:val="22"/>
          <w:szCs w:val="22"/>
        </w:rPr>
        <w:t>.在经营活动中没有重大违法记录的书面声明格式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_Toc29959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60</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_Toc25819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18</w:t>
      </w:r>
      <w:r>
        <w:rPr>
          <w:rFonts w:hint="eastAsia" w:ascii="宋体" w:hAnsi="宋体" w:eastAsia="宋体" w:cs="宋体"/>
          <w:color w:val="auto"/>
          <w:sz w:val="22"/>
          <w:szCs w:val="22"/>
        </w:rPr>
        <w:t>.中小企业声明函（投标人为中小企业时适用）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_Toc25819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61</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_Toc27000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19</w:t>
      </w:r>
      <w:r>
        <w:rPr>
          <w:rFonts w:hint="eastAsia" w:ascii="宋体" w:hAnsi="宋体" w:eastAsia="宋体" w:cs="宋体"/>
          <w:color w:val="auto"/>
          <w:sz w:val="22"/>
          <w:szCs w:val="22"/>
        </w:rPr>
        <w:t>.《残疾人福利性单位声明函》（残疾人福利性单位适用）</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_Toc27000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62</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HYPERLINK \l _Toc18073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附件</w:t>
      </w:r>
      <w:r>
        <w:rPr>
          <w:rFonts w:hint="eastAsia" w:ascii="宋体" w:hAnsi="宋体" w:eastAsia="宋体" w:cs="宋体"/>
          <w:color w:val="auto"/>
          <w:sz w:val="22"/>
          <w:szCs w:val="22"/>
          <w:lang w:val="en-US" w:eastAsia="zh-CN"/>
        </w:rPr>
        <w:t>20</w:t>
      </w:r>
      <w:r>
        <w:rPr>
          <w:rFonts w:hint="eastAsia" w:ascii="宋体" w:hAnsi="宋体" w:eastAsia="宋体" w:cs="宋体"/>
          <w:color w:val="auto"/>
          <w:sz w:val="22"/>
          <w:szCs w:val="22"/>
        </w:rPr>
        <w:t>.投标保证金汇入情况说明格式</w:t>
      </w:r>
      <w:r>
        <w:rPr>
          <w:rFonts w:hint="eastAsia" w:ascii="宋体" w:hAnsi="宋体" w:eastAsia="宋体" w:cs="宋体"/>
          <w:color w:val="auto"/>
          <w:sz w:val="22"/>
          <w:szCs w:val="22"/>
        </w:rPr>
        <w:tab/>
      </w:r>
      <w:r>
        <w:rPr>
          <w:rFonts w:hint="eastAsia" w:ascii="宋体" w:hAnsi="宋体" w:eastAsia="宋体" w:cs="宋体"/>
          <w:color w:val="auto"/>
          <w:sz w:val="22"/>
          <w:szCs w:val="22"/>
        </w:rPr>
        <w:fldChar w:fldCharType="begin"/>
      </w:r>
      <w:r>
        <w:rPr>
          <w:rFonts w:hint="eastAsia" w:ascii="宋体" w:hAnsi="宋体" w:eastAsia="宋体" w:cs="宋体"/>
          <w:color w:val="auto"/>
          <w:sz w:val="22"/>
          <w:szCs w:val="22"/>
        </w:rPr>
        <w:instrText xml:space="preserve"> PAGEREF _Toc18073 </w:instrText>
      </w:r>
      <w:r>
        <w:rPr>
          <w:rFonts w:hint="eastAsia" w:ascii="宋体" w:hAnsi="宋体" w:eastAsia="宋体" w:cs="宋体"/>
          <w:color w:val="auto"/>
          <w:sz w:val="22"/>
          <w:szCs w:val="22"/>
        </w:rPr>
        <w:fldChar w:fldCharType="separate"/>
      </w:r>
      <w:r>
        <w:rPr>
          <w:rFonts w:hint="eastAsia" w:ascii="宋体" w:hAnsi="宋体" w:eastAsia="宋体" w:cs="宋体"/>
          <w:color w:val="auto"/>
          <w:sz w:val="22"/>
          <w:szCs w:val="22"/>
        </w:rPr>
        <w:t>63</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fldChar w:fldCharType="end"/>
      </w:r>
    </w:p>
    <w:p>
      <w:pPr>
        <w:pStyle w:val="1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2"/>
          <w:szCs w:val="22"/>
        </w:rPr>
        <w:fldChar w:fldCharType="end"/>
      </w: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jc w:val="center"/>
        <w:rPr>
          <w:color w:val="auto"/>
          <w:sz w:val="52"/>
          <w:szCs w:val="52"/>
        </w:rPr>
      </w:pPr>
      <w:bookmarkStart w:id="0" w:name="_Toc4059"/>
      <w:r>
        <w:rPr>
          <w:rFonts w:hint="eastAsia"/>
          <w:color w:val="auto"/>
          <w:sz w:val="52"/>
          <w:szCs w:val="52"/>
        </w:rPr>
        <w:t>第一部分 投标邀请</w:t>
      </w:r>
      <w:bookmarkEnd w:id="0"/>
    </w:p>
    <w:p>
      <w:pPr>
        <w:jc w:val="center"/>
        <w:rPr>
          <w:color w:val="auto"/>
        </w:rPr>
      </w:pPr>
    </w:p>
    <w:p>
      <w:pPr>
        <w:jc w:val="center"/>
        <w:rPr>
          <w:color w:val="auto"/>
        </w:rPr>
      </w:pPr>
    </w:p>
    <w:p>
      <w:pPr>
        <w:jc w:val="center"/>
        <w:rPr>
          <w:color w:val="auto"/>
        </w:rPr>
      </w:pPr>
    </w:p>
    <w:p>
      <w:pPr>
        <w:adjustRightInd/>
        <w:snapToGrid/>
        <w:spacing w:line="276" w:lineRule="auto"/>
        <w:rPr>
          <w:color w:val="auto"/>
        </w:rPr>
      </w:pPr>
      <w:r>
        <w:rPr>
          <w:color w:val="auto"/>
        </w:rPr>
        <w:br w:type="page"/>
      </w:r>
    </w:p>
    <w:p>
      <w:pPr>
        <w:pStyle w:val="3"/>
        <w:jc w:val="center"/>
        <w:rPr>
          <w:rFonts w:ascii="宋体" w:hAnsi="宋体" w:eastAsia="宋体"/>
          <w:color w:val="auto"/>
        </w:rPr>
      </w:pPr>
      <w:bookmarkStart w:id="1" w:name="_Toc32516"/>
      <w:r>
        <w:rPr>
          <w:rFonts w:hint="eastAsia" w:ascii="宋体" w:hAnsi="宋体" w:eastAsia="宋体"/>
          <w:color w:val="auto"/>
        </w:rPr>
        <w:t>投标邀请书</w:t>
      </w:r>
      <w:bookmarkEnd w:id="1"/>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广东三方诚信招标有限公司</w:t>
      </w:r>
      <w:r>
        <w:rPr>
          <w:rFonts w:ascii="宋体" w:hAnsi="宋体" w:eastAsia="宋体"/>
          <w:color w:val="auto"/>
          <w:sz w:val="21"/>
          <w:szCs w:val="21"/>
        </w:rPr>
        <w:t>（以下简称</w:t>
      </w:r>
      <w:r>
        <w:rPr>
          <w:rFonts w:hint="eastAsia" w:ascii="宋体" w:hAnsi="宋体" w:eastAsia="宋体"/>
          <w:color w:val="auto"/>
          <w:sz w:val="21"/>
          <w:szCs w:val="21"/>
        </w:rPr>
        <w:t>“采购代理机构”</w:t>
      </w:r>
      <w:r>
        <w:rPr>
          <w:rFonts w:ascii="宋体" w:hAnsi="宋体" w:eastAsia="宋体"/>
          <w:color w:val="auto"/>
          <w:sz w:val="21"/>
          <w:szCs w:val="21"/>
        </w:rPr>
        <w:t>）受</w:t>
      </w:r>
      <w:r>
        <w:rPr>
          <w:rFonts w:hint="eastAsia" w:ascii="宋体" w:hAnsi="宋体" w:eastAsia="宋体"/>
          <w:color w:val="auto"/>
          <w:sz w:val="21"/>
          <w:szCs w:val="21"/>
          <w:lang w:eastAsia="zh-CN"/>
        </w:rPr>
        <w:t>东莞市公安局塘厦分局</w:t>
      </w:r>
      <w:r>
        <w:rPr>
          <w:rFonts w:ascii="宋体" w:hAnsi="宋体" w:eastAsia="宋体"/>
          <w:color w:val="auto"/>
          <w:sz w:val="21"/>
          <w:szCs w:val="21"/>
        </w:rPr>
        <w:t>（以下简称</w:t>
      </w:r>
      <w:r>
        <w:rPr>
          <w:rFonts w:hint="eastAsia" w:ascii="宋体" w:hAnsi="宋体" w:eastAsia="宋体"/>
          <w:color w:val="auto"/>
          <w:sz w:val="21"/>
          <w:szCs w:val="21"/>
        </w:rPr>
        <w:t>“采购人”</w:t>
      </w:r>
      <w:r>
        <w:rPr>
          <w:rFonts w:ascii="宋体" w:hAnsi="宋体" w:eastAsia="宋体"/>
          <w:color w:val="auto"/>
          <w:sz w:val="21"/>
          <w:szCs w:val="21"/>
        </w:rPr>
        <w:t>）委托，</w:t>
      </w:r>
      <w:r>
        <w:rPr>
          <w:rFonts w:hint="eastAsia" w:ascii="宋体" w:hAnsi="宋体" w:eastAsia="宋体"/>
          <w:color w:val="auto"/>
          <w:sz w:val="21"/>
          <w:szCs w:val="21"/>
        </w:rPr>
        <w:t>现</w:t>
      </w:r>
      <w:r>
        <w:rPr>
          <w:rFonts w:ascii="宋体" w:hAnsi="宋体" w:eastAsia="宋体"/>
          <w:color w:val="auto"/>
          <w:sz w:val="21"/>
          <w:szCs w:val="21"/>
        </w:rPr>
        <w:t>就</w:t>
      </w:r>
      <w:r>
        <w:rPr>
          <w:rFonts w:hint="eastAsia" w:ascii="宋体" w:hAnsi="宋体" w:eastAsia="宋体"/>
          <w:color w:val="auto"/>
          <w:sz w:val="21"/>
          <w:szCs w:val="21"/>
          <w:lang w:eastAsia="zh-CN"/>
        </w:rPr>
        <w:t>东莞市公安局塘厦分局350M数字集群对讲机采购项目</w:t>
      </w:r>
      <w:r>
        <w:rPr>
          <w:rFonts w:hint="eastAsia" w:ascii="宋体" w:hAnsi="宋体" w:eastAsia="宋体"/>
          <w:color w:val="auto"/>
          <w:sz w:val="21"/>
          <w:szCs w:val="21"/>
        </w:rPr>
        <w:t>（招标编号：</w:t>
      </w:r>
      <w:r>
        <w:rPr>
          <w:rFonts w:hint="eastAsia" w:ascii="宋体" w:hAnsi="宋体" w:eastAsia="宋体"/>
          <w:b/>
          <w:color w:val="auto"/>
          <w:sz w:val="21"/>
          <w:szCs w:val="21"/>
          <w:u w:val="single"/>
        </w:rPr>
        <w:t>441900-22-201808-22050101-0009</w:t>
      </w:r>
      <w:r>
        <w:rPr>
          <w:rFonts w:hint="eastAsia" w:ascii="宋体" w:hAnsi="宋体" w:eastAsia="宋体"/>
          <w:color w:val="auto"/>
          <w:sz w:val="21"/>
          <w:szCs w:val="21"/>
        </w:rPr>
        <w:t>）</w:t>
      </w:r>
      <w:r>
        <w:rPr>
          <w:rFonts w:hint="eastAsia" w:ascii="宋体" w:hAnsi="宋体" w:eastAsia="宋体" w:cs="Times New Roman"/>
          <w:color w:val="auto"/>
          <w:sz w:val="21"/>
          <w:szCs w:val="21"/>
        </w:rPr>
        <w:t>进行国内公开招标采购</w:t>
      </w:r>
      <w:r>
        <w:rPr>
          <w:rFonts w:hint="eastAsia" w:ascii="宋体" w:hAnsi="宋体" w:eastAsia="宋体"/>
          <w:color w:val="auto"/>
          <w:sz w:val="21"/>
          <w:szCs w:val="21"/>
        </w:rPr>
        <w:t>，欢迎符合招标文件要求的国内投标人参加投标</w:t>
      </w:r>
      <w:r>
        <w:rPr>
          <w:rFonts w:ascii="宋体" w:hAnsi="宋体" w:eastAsia="宋体"/>
          <w:color w:val="auto"/>
          <w:sz w:val="21"/>
          <w:szCs w:val="21"/>
        </w:rPr>
        <w:t>。有关事项如下：</w:t>
      </w:r>
    </w:p>
    <w:p>
      <w:pPr>
        <w:spacing w:after="0"/>
        <w:ind w:firstLine="413" w:firstLineChars="196"/>
        <w:rPr>
          <w:rFonts w:ascii="宋体" w:hAnsi="宋体" w:eastAsia="宋体"/>
          <w:b/>
          <w:color w:val="auto"/>
          <w:sz w:val="21"/>
          <w:szCs w:val="21"/>
        </w:rPr>
      </w:pPr>
    </w:p>
    <w:p>
      <w:pPr>
        <w:spacing w:after="0"/>
        <w:ind w:firstLine="413" w:firstLineChars="196"/>
        <w:rPr>
          <w:rFonts w:ascii="宋体" w:hAnsi="宋体" w:eastAsia="宋体"/>
          <w:b/>
          <w:color w:val="auto"/>
          <w:sz w:val="21"/>
          <w:szCs w:val="21"/>
        </w:rPr>
      </w:pPr>
      <w:r>
        <w:rPr>
          <w:rFonts w:hint="eastAsia" w:ascii="宋体" w:hAnsi="宋体" w:eastAsia="宋体"/>
          <w:b/>
          <w:color w:val="auto"/>
          <w:sz w:val="21"/>
          <w:szCs w:val="21"/>
        </w:rPr>
        <w:t>一、招标项目的名称、用途、简要技术要求或者招标项目的性质</w:t>
      </w:r>
    </w:p>
    <w:p>
      <w:pPr>
        <w:spacing w:after="0"/>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rPr>
        <w:t>1、项目内容</w:t>
      </w:r>
      <w:r>
        <w:rPr>
          <w:rFonts w:hint="eastAsia" w:ascii="宋体" w:hAnsi="宋体" w:eastAsia="宋体"/>
          <w:color w:val="auto"/>
          <w:sz w:val="21"/>
          <w:szCs w:val="21"/>
          <w:lang w:eastAsia="zh-CN"/>
        </w:rPr>
        <w:t>：</w:t>
      </w:r>
      <w:r>
        <w:rPr>
          <w:rFonts w:hint="eastAsia" w:ascii="宋体" w:hAnsi="宋体" w:eastAsia="宋体"/>
          <w:b/>
          <w:color w:val="auto"/>
          <w:sz w:val="21"/>
          <w:szCs w:val="21"/>
          <w:highlight w:val="none"/>
          <w:u w:val="single"/>
        </w:rPr>
        <w:t>数字集群对讲机</w:t>
      </w:r>
      <w:r>
        <w:rPr>
          <w:rFonts w:hint="eastAsia" w:ascii="宋体" w:hAnsi="宋体" w:eastAsia="宋体"/>
          <w:color w:val="auto"/>
          <w:sz w:val="21"/>
          <w:szCs w:val="21"/>
          <w:highlight w:val="none"/>
        </w:rPr>
        <w:t>采购一项，预算：</w:t>
      </w:r>
      <w:r>
        <w:rPr>
          <w:rFonts w:hint="eastAsia" w:ascii="宋体" w:hAnsi="宋体" w:eastAsia="宋体"/>
          <w:b/>
          <w:color w:val="auto"/>
          <w:sz w:val="21"/>
          <w:szCs w:val="21"/>
          <w:highlight w:val="none"/>
          <w:u w:val="single"/>
          <w:lang w:val="en-US" w:eastAsia="zh-CN"/>
        </w:rPr>
        <w:t>90</w:t>
      </w:r>
      <w:r>
        <w:rPr>
          <w:rFonts w:hint="eastAsia" w:ascii="宋体" w:hAnsi="宋体" w:eastAsia="宋体"/>
          <w:color w:val="auto"/>
          <w:sz w:val="21"/>
          <w:szCs w:val="21"/>
          <w:highlight w:val="none"/>
        </w:rPr>
        <w:t>万元</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2、简要技术要求或招标项目的性质：详细内容请参阅招标文件第五部分《用户需求书》。</w:t>
      </w:r>
    </w:p>
    <w:p>
      <w:pPr>
        <w:spacing w:after="0"/>
        <w:ind w:firstLine="413" w:firstLineChars="196"/>
        <w:rPr>
          <w:rFonts w:ascii="宋体" w:hAnsi="宋体" w:eastAsia="宋体"/>
          <w:b/>
          <w:color w:val="auto"/>
          <w:sz w:val="21"/>
          <w:szCs w:val="21"/>
        </w:rPr>
      </w:pPr>
    </w:p>
    <w:p>
      <w:pPr>
        <w:spacing w:after="0"/>
        <w:ind w:firstLine="413" w:firstLineChars="196"/>
        <w:rPr>
          <w:rFonts w:ascii="宋体" w:hAnsi="宋体" w:eastAsia="宋体"/>
          <w:b/>
          <w:color w:val="auto"/>
          <w:sz w:val="21"/>
          <w:szCs w:val="21"/>
        </w:rPr>
      </w:pPr>
      <w:r>
        <w:rPr>
          <w:rFonts w:hint="eastAsia" w:ascii="宋体" w:hAnsi="宋体" w:eastAsia="宋体"/>
          <w:b/>
          <w:color w:val="auto"/>
          <w:sz w:val="21"/>
          <w:szCs w:val="21"/>
        </w:rPr>
        <w:t>二、投标人资格要求</w:t>
      </w:r>
    </w:p>
    <w:p>
      <w:pPr>
        <w:spacing w:after="0"/>
        <w:ind w:firstLine="411" w:firstLineChars="196"/>
        <w:rPr>
          <w:rFonts w:ascii="宋体" w:hAnsi="宋体" w:eastAsia="宋体"/>
          <w:color w:val="auto"/>
          <w:sz w:val="21"/>
          <w:szCs w:val="21"/>
        </w:rPr>
      </w:pPr>
      <w:r>
        <w:rPr>
          <w:rFonts w:hint="eastAsia" w:ascii="宋体" w:hAnsi="宋体" w:eastAsia="宋体"/>
          <w:color w:val="auto"/>
          <w:sz w:val="21"/>
          <w:szCs w:val="21"/>
        </w:rPr>
        <w:t>1、一般要求：</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（1）须符合《中华人民共和国政府采购法》第二十二条规定；</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（2）参加采购活动前三年内，在经营活动中没有重大违法记录（须提供书面声明）；</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（3）本项目</w:t>
      </w:r>
      <w:r>
        <w:rPr>
          <w:rFonts w:hint="eastAsia" w:ascii="宋体" w:hAnsi="宋体" w:eastAsia="宋体"/>
          <w:color w:val="auto"/>
          <w:sz w:val="21"/>
          <w:szCs w:val="21"/>
          <w:lang w:eastAsia="zh-CN"/>
        </w:rPr>
        <w:t>不</w:t>
      </w:r>
      <w:r>
        <w:rPr>
          <w:rFonts w:hint="eastAsia" w:ascii="宋体" w:hAnsi="宋体" w:eastAsia="宋体"/>
          <w:color w:val="auto"/>
          <w:sz w:val="21"/>
          <w:szCs w:val="21"/>
        </w:rPr>
        <w:t xml:space="preserve">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（以代理机构于投标截止日当天在“信用中国”网站（www.creditchina.gov.cn）及中国政府采购网查询结果为准，如相关失信记录已失效，投标人需提供相关证明资料）。</w:t>
      </w:r>
    </w:p>
    <w:p>
      <w:pPr>
        <w:spacing w:after="0"/>
        <w:ind w:firstLine="413" w:firstLineChars="196"/>
        <w:rPr>
          <w:rFonts w:ascii="宋体" w:hAnsi="宋体" w:eastAsia="宋体"/>
          <w:b/>
          <w:color w:val="auto"/>
          <w:sz w:val="21"/>
          <w:szCs w:val="21"/>
        </w:rPr>
      </w:pPr>
    </w:p>
    <w:p>
      <w:pPr>
        <w:spacing w:after="0"/>
        <w:ind w:firstLine="413" w:firstLineChars="196"/>
        <w:rPr>
          <w:rFonts w:ascii="宋体" w:hAnsi="宋体" w:eastAsia="宋体"/>
          <w:b/>
          <w:color w:val="auto"/>
          <w:sz w:val="21"/>
          <w:szCs w:val="21"/>
        </w:rPr>
      </w:pPr>
      <w:r>
        <w:rPr>
          <w:rFonts w:hint="eastAsia" w:ascii="宋体" w:hAnsi="宋体" w:eastAsia="宋体"/>
          <w:b/>
          <w:color w:val="auto"/>
          <w:sz w:val="21"/>
          <w:szCs w:val="21"/>
        </w:rPr>
        <w:t>三、项目公示时间、报名时间、地点、方式及招标文件售价</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1、项目公示时间：2018年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24</w:t>
      </w:r>
      <w:r>
        <w:rPr>
          <w:rFonts w:hint="eastAsia" w:ascii="宋体" w:hAnsi="宋体" w:eastAsia="宋体"/>
          <w:color w:val="auto"/>
          <w:sz w:val="21"/>
          <w:szCs w:val="21"/>
        </w:rPr>
        <w:t>日起至2018年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31</w:t>
      </w:r>
      <w:r>
        <w:rPr>
          <w:rFonts w:hint="eastAsia" w:ascii="宋体" w:hAnsi="宋体" w:eastAsia="宋体"/>
          <w:color w:val="auto"/>
          <w:sz w:val="21"/>
          <w:szCs w:val="21"/>
        </w:rPr>
        <w:t>日。</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2、报名</w:t>
      </w:r>
      <w:r>
        <w:rPr>
          <w:rFonts w:ascii="宋体" w:hAnsi="宋体" w:eastAsia="宋体"/>
          <w:color w:val="auto"/>
          <w:sz w:val="21"/>
          <w:szCs w:val="21"/>
        </w:rPr>
        <w:t>时间：</w:t>
      </w:r>
      <w:r>
        <w:rPr>
          <w:rFonts w:hint="eastAsia" w:ascii="宋体" w:hAnsi="宋体" w:eastAsia="宋体"/>
          <w:color w:val="auto"/>
          <w:sz w:val="21"/>
          <w:szCs w:val="21"/>
        </w:rPr>
        <w:t>2018年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24</w:t>
      </w:r>
      <w:r>
        <w:rPr>
          <w:rFonts w:hint="eastAsia" w:ascii="宋体" w:hAnsi="宋体" w:eastAsia="宋体"/>
          <w:color w:val="auto"/>
          <w:sz w:val="21"/>
          <w:szCs w:val="21"/>
        </w:rPr>
        <w:t>日起至2018年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31</w:t>
      </w:r>
      <w:r>
        <w:rPr>
          <w:rFonts w:hint="eastAsia" w:ascii="宋体" w:hAnsi="宋体" w:eastAsia="宋体"/>
          <w:color w:val="auto"/>
          <w:sz w:val="21"/>
          <w:szCs w:val="21"/>
        </w:rPr>
        <w:t xml:space="preserve">日（节假日除外），上午9：00～12：00，下午14：00～17：00（北京时间）。 </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3、项目报名地点：东莞市南城区鸿福西路81号国际商会大厦601室。</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联系人：伍小姐</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联系电话：0769-21682660</w:t>
      </w:r>
    </w:p>
    <w:p>
      <w:pPr>
        <w:spacing w:after="0"/>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4、报名方式：现场报名。</w:t>
      </w:r>
    </w:p>
    <w:p>
      <w:pPr>
        <w:spacing w:after="0"/>
        <w:ind w:firstLine="420" w:firstLineChars="200"/>
        <w:rPr>
          <w:rFonts w:hint="eastAsia" w:ascii="宋体" w:hAnsi="宋体" w:eastAsia="宋体"/>
          <w:b w:val="0"/>
          <w:bCs w:val="0"/>
          <w:color w:val="auto"/>
          <w:sz w:val="21"/>
          <w:szCs w:val="21"/>
          <w:lang w:eastAsia="zh-CN"/>
        </w:rPr>
      </w:pPr>
      <w:r>
        <w:rPr>
          <w:rFonts w:hint="eastAsia" w:ascii="宋体" w:hAnsi="宋体" w:eastAsia="宋体"/>
          <w:b w:val="0"/>
          <w:bCs w:val="0"/>
          <w:color w:val="auto"/>
          <w:sz w:val="21"/>
          <w:szCs w:val="21"/>
          <w:lang w:eastAsia="zh-CN"/>
        </w:rPr>
        <w:t>投标人在购买招标文件时须提供如下证明材料：（1）《营业执照》或《事业单位法人证书》复印件（加盖公章）；（2）广东省政府采购网政府采购供应商登入后界面或供应商注册待审核界面截图打印件。</w:t>
      </w:r>
    </w:p>
    <w:p>
      <w:pPr>
        <w:spacing w:after="0"/>
        <w:ind w:firstLine="420" w:firstLineChars="200"/>
        <w:rPr>
          <w:rFonts w:hint="eastAsia" w:ascii="宋体" w:hAnsi="宋体" w:eastAsia="宋体"/>
          <w:b w:val="0"/>
          <w:bCs w:val="0"/>
          <w:color w:val="auto"/>
          <w:sz w:val="21"/>
          <w:szCs w:val="21"/>
          <w:lang w:eastAsia="zh-CN"/>
        </w:rPr>
      </w:pPr>
      <w:r>
        <w:rPr>
          <w:rFonts w:hint="eastAsia" w:ascii="宋体" w:hAnsi="宋体" w:eastAsia="宋体"/>
          <w:b w:val="0"/>
          <w:bCs w:val="0"/>
          <w:color w:val="auto"/>
          <w:sz w:val="21"/>
          <w:szCs w:val="21"/>
          <w:lang w:eastAsia="zh-CN"/>
        </w:rPr>
        <w:t>投标人报名当天缺少以上材料不予报名。</w:t>
      </w:r>
    </w:p>
    <w:p>
      <w:pPr>
        <w:spacing w:after="0"/>
        <w:ind w:firstLine="420" w:firstLineChars="200"/>
        <w:rPr>
          <w:rFonts w:hint="eastAsia" w:ascii="宋体" w:hAnsi="宋体" w:eastAsia="宋体"/>
          <w:b w:val="0"/>
          <w:bCs w:val="0"/>
          <w:color w:val="auto"/>
          <w:sz w:val="21"/>
          <w:szCs w:val="21"/>
          <w:lang w:eastAsia="zh-CN"/>
        </w:rPr>
      </w:pPr>
      <w:r>
        <w:rPr>
          <w:rFonts w:hint="eastAsia" w:ascii="宋体" w:hAnsi="宋体" w:eastAsia="宋体"/>
          <w:b w:val="0"/>
          <w:bCs w:val="0"/>
          <w:color w:val="auto"/>
          <w:sz w:val="21"/>
          <w:szCs w:val="21"/>
          <w:lang w:eastAsia="zh-CN"/>
        </w:rPr>
        <w:t>注：为进一步贯彻落实《广东省人民政府办公厅关于印发广东省整合建立统一的公共资源交易平台实施方案的通知》（粤府办〔2016〕7号）精神，提高工作效率，实现资源共享，东莞市政府采购供应商库将与公共资源企业库进行资源整合，并统一由市公共资源交易中心负责政府采购供应商的建档入库管理工作。</w:t>
      </w:r>
    </w:p>
    <w:p>
      <w:pPr>
        <w:spacing w:after="0"/>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lang w:eastAsia="zh-CN"/>
        </w:rPr>
        <w:t>凡参与东莞市政府采购活动的供应商，应通过东莞市政府采购网（http://czj.dg.gov.cn/dggp）或东莞市公共资源交易网（http://ggzy.dg.gov.cn）进行建档入库，已在市公共资源交易中心入库（企业身份为“政府采购类”）的除外。入库路径：1.东莞市政府采购网-供应商注册；2.东莞市公共资源交易网-企业信息登记-公共资源交易企业库</w:t>
      </w:r>
      <w:r>
        <w:rPr>
          <w:rFonts w:hint="eastAsia" w:ascii="宋体" w:hAnsi="宋体" w:eastAsia="宋体"/>
          <w:color w:val="auto"/>
          <w:sz w:val="21"/>
          <w:szCs w:val="21"/>
        </w:rPr>
        <w:t>。</w:t>
      </w:r>
    </w:p>
    <w:p>
      <w:pPr>
        <w:numPr>
          <w:ilvl w:val="0"/>
          <w:numId w:val="1"/>
        </w:numPr>
        <w:spacing w:after="0"/>
        <w:ind w:firstLine="420" w:firstLineChars="200"/>
        <w:rPr>
          <w:rFonts w:hint="eastAsia" w:ascii="宋体" w:hAnsi="宋体" w:eastAsia="宋体"/>
          <w:b w:val="0"/>
          <w:bCs w:val="0"/>
          <w:color w:val="auto"/>
          <w:sz w:val="21"/>
          <w:szCs w:val="21"/>
          <w:lang w:eastAsia="zh-CN"/>
        </w:rPr>
      </w:pPr>
      <w:r>
        <w:rPr>
          <w:rFonts w:ascii="宋体" w:hAnsi="宋体" w:eastAsia="宋体"/>
          <w:b w:val="0"/>
          <w:bCs w:val="0"/>
          <w:color w:val="auto"/>
          <w:sz w:val="21"/>
          <w:szCs w:val="21"/>
        </w:rPr>
        <w:t>招标文件售价：</w:t>
      </w:r>
      <w:r>
        <w:rPr>
          <w:rFonts w:hint="eastAsia" w:ascii="宋体" w:hAnsi="宋体" w:eastAsia="宋体"/>
          <w:b w:val="0"/>
          <w:bCs w:val="0"/>
          <w:color w:val="auto"/>
          <w:sz w:val="21"/>
          <w:szCs w:val="21"/>
        </w:rPr>
        <w:t>每套人民币150元。</w:t>
      </w:r>
      <w:r>
        <w:rPr>
          <w:rFonts w:hint="eastAsia" w:ascii="宋体" w:hAnsi="宋体" w:eastAsia="宋体"/>
          <w:b w:val="0"/>
          <w:bCs w:val="0"/>
          <w:color w:val="auto"/>
          <w:sz w:val="21"/>
          <w:szCs w:val="21"/>
          <w:lang w:eastAsia="zh-CN"/>
        </w:rPr>
        <w:t>（报名现场只接受现金支付，支付成功后文件自行在指定的信息发布网站上下载）</w:t>
      </w:r>
    </w:p>
    <w:p>
      <w:pPr>
        <w:numPr>
          <w:ilvl w:val="0"/>
          <w:numId w:val="1"/>
        </w:numPr>
        <w:spacing w:after="0"/>
        <w:ind w:firstLine="420" w:firstLineChars="200"/>
        <w:rPr>
          <w:rFonts w:hint="eastAsia" w:ascii="宋体" w:hAnsi="宋体" w:eastAsia="宋体"/>
          <w:b w:val="0"/>
          <w:bCs w:val="0"/>
          <w:color w:val="auto"/>
          <w:sz w:val="21"/>
          <w:szCs w:val="21"/>
          <w:lang w:eastAsia="zh-CN"/>
        </w:rPr>
      </w:pPr>
      <w:r>
        <w:rPr>
          <w:rFonts w:hint="eastAsia" w:ascii="宋体" w:hAnsi="宋体" w:eastAsia="宋体"/>
          <w:b w:val="0"/>
          <w:bCs w:val="0"/>
          <w:color w:val="auto"/>
          <w:sz w:val="21"/>
          <w:szCs w:val="21"/>
          <w:lang w:eastAsia="zh-CN"/>
        </w:rPr>
        <w:t>投标人报名成功后应自行进行市网入库和省网入库。若投标人中标后因没有按文件要求进行市网入库和省网入库而导致代理机构在发布结果公告时无法选定其单位时，该后果由投标人承担。</w:t>
      </w:r>
    </w:p>
    <w:p>
      <w:pPr>
        <w:spacing w:after="0"/>
        <w:ind w:firstLine="413" w:firstLineChars="196"/>
        <w:rPr>
          <w:rFonts w:ascii="宋体" w:hAnsi="宋体" w:eastAsia="宋体"/>
          <w:b/>
          <w:color w:val="auto"/>
          <w:sz w:val="21"/>
          <w:szCs w:val="21"/>
        </w:rPr>
      </w:pPr>
    </w:p>
    <w:p>
      <w:pPr>
        <w:spacing w:after="0"/>
        <w:ind w:firstLine="413" w:firstLineChars="196"/>
        <w:rPr>
          <w:rFonts w:ascii="宋体" w:hAnsi="宋体" w:eastAsia="宋体"/>
          <w:b/>
          <w:bCs w:val="0"/>
          <w:color w:val="auto"/>
          <w:sz w:val="21"/>
          <w:szCs w:val="21"/>
        </w:rPr>
      </w:pPr>
      <w:r>
        <w:rPr>
          <w:rFonts w:hint="eastAsia" w:ascii="宋体" w:hAnsi="宋体" w:eastAsia="宋体"/>
          <w:b/>
          <w:bCs w:val="0"/>
          <w:color w:val="auto"/>
          <w:sz w:val="21"/>
          <w:szCs w:val="21"/>
        </w:rPr>
        <w:t>四、投标截止时间、开标时间及地点</w:t>
      </w:r>
    </w:p>
    <w:p>
      <w:pPr>
        <w:spacing w:after="0"/>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1、递交投标文件时间：2018年</w:t>
      </w:r>
      <w:r>
        <w:rPr>
          <w:rFonts w:hint="eastAsia" w:ascii="宋体" w:hAnsi="宋体" w:eastAsia="宋体"/>
          <w:b w:val="0"/>
          <w:bCs/>
          <w:color w:val="auto"/>
          <w:sz w:val="21"/>
          <w:szCs w:val="21"/>
          <w:lang w:val="en-US" w:eastAsia="zh-CN"/>
        </w:rPr>
        <w:t>9</w:t>
      </w:r>
      <w:r>
        <w:rPr>
          <w:rFonts w:hint="eastAsia" w:ascii="宋体" w:hAnsi="宋体" w:eastAsia="宋体"/>
          <w:b w:val="0"/>
          <w:bCs/>
          <w:color w:val="auto"/>
          <w:sz w:val="21"/>
          <w:szCs w:val="21"/>
        </w:rPr>
        <w:t>月</w:t>
      </w:r>
      <w:r>
        <w:rPr>
          <w:rFonts w:hint="eastAsia" w:ascii="宋体" w:hAnsi="宋体" w:eastAsia="宋体"/>
          <w:b w:val="0"/>
          <w:bCs/>
          <w:color w:val="auto"/>
          <w:sz w:val="21"/>
          <w:szCs w:val="21"/>
          <w:lang w:val="en-US" w:eastAsia="zh-CN"/>
        </w:rPr>
        <w:t>14</w:t>
      </w:r>
      <w:r>
        <w:rPr>
          <w:rFonts w:hint="eastAsia" w:ascii="宋体" w:hAnsi="宋体" w:eastAsia="宋体"/>
          <w:b w:val="0"/>
          <w:bCs/>
          <w:color w:val="auto"/>
          <w:sz w:val="21"/>
          <w:szCs w:val="21"/>
        </w:rPr>
        <w:t>日</w:t>
      </w:r>
      <w:r>
        <w:rPr>
          <w:rFonts w:hint="eastAsia" w:ascii="宋体" w:hAnsi="宋体" w:eastAsia="宋体"/>
          <w:b w:val="0"/>
          <w:bCs/>
          <w:color w:val="auto"/>
          <w:sz w:val="21"/>
          <w:szCs w:val="21"/>
          <w:lang w:eastAsia="zh-CN"/>
        </w:rPr>
        <w:t>上</w:t>
      </w:r>
      <w:r>
        <w:rPr>
          <w:rFonts w:hint="eastAsia" w:ascii="宋体" w:hAnsi="宋体" w:eastAsia="宋体"/>
          <w:b w:val="0"/>
          <w:bCs/>
          <w:color w:val="auto"/>
          <w:sz w:val="21"/>
          <w:szCs w:val="21"/>
        </w:rPr>
        <w:t>午</w:t>
      </w:r>
      <w:r>
        <w:rPr>
          <w:rFonts w:hint="eastAsia" w:ascii="宋体" w:hAnsi="宋体" w:eastAsia="宋体"/>
          <w:b w:val="0"/>
          <w:bCs/>
          <w:color w:val="auto"/>
          <w:sz w:val="21"/>
          <w:szCs w:val="21"/>
          <w:lang w:val="en-US" w:eastAsia="zh-CN"/>
        </w:rPr>
        <w:t>9</w:t>
      </w:r>
      <w:r>
        <w:rPr>
          <w:rFonts w:hint="eastAsia" w:ascii="宋体" w:hAnsi="宋体" w:eastAsia="宋体"/>
          <w:b w:val="0"/>
          <w:bCs/>
          <w:color w:val="auto"/>
          <w:sz w:val="21"/>
          <w:szCs w:val="21"/>
        </w:rPr>
        <w:t>：</w:t>
      </w:r>
      <w:r>
        <w:rPr>
          <w:rFonts w:hint="eastAsia" w:ascii="宋体" w:hAnsi="宋体" w:eastAsia="宋体"/>
          <w:b w:val="0"/>
          <w:bCs/>
          <w:color w:val="auto"/>
          <w:sz w:val="21"/>
          <w:szCs w:val="21"/>
          <w:lang w:val="en-US" w:eastAsia="zh-CN"/>
        </w:rPr>
        <w:t>3</w:t>
      </w:r>
      <w:r>
        <w:rPr>
          <w:rFonts w:hint="eastAsia" w:ascii="宋体" w:hAnsi="宋体" w:eastAsia="宋体"/>
          <w:b w:val="0"/>
          <w:bCs/>
          <w:color w:val="auto"/>
          <w:sz w:val="21"/>
          <w:szCs w:val="21"/>
        </w:rPr>
        <w:t>0～</w:t>
      </w:r>
      <w:r>
        <w:rPr>
          <w:rFonts w:hint="eastAsia" w:ascii="宋体" w:hAnsi="宋体" w:eastAsia="宋体"/>
          <w:b w:val="0"/>
          <w:bCs/>
          <w:color w:val="auto"/>
          <w:sz w:val="21"/>
          <w:szCs w:val="21"/>
          <w:lang w:val="en-US" w:eastAsia="zh-CN"/>
        </w:rPr>
        <w:t>10</w:t>
      </w:r>
      <w:r>
        <w:rPr>
          <w:rFonts w:hint="eastAsia" w:ascii="宋体" w:hAnsi="宋体" w:eastAsia="宋体"/>
          <w:b w:val="0"/>
          <w:bCs/>
          <w:color w:val="auto"/>
          <w:sz w:val="21"/>
          <w:szCs w:val="21"/>
        </w:rPr>
        <w:t>：</w:t>
      </w:r>
      <w:r>
        <w:rPr>
          <w:rFonts w:hint="eastAsia" w:ascii="宋体" w:hAnsi="宋体" w:eastAsia="宋体"/>
          <w:b w:val="0"/>
          <w:bCs/>
          <w:color w:val="auto"/>
          <w:sz w:val="21"/>
          <w:szCs w:val="21"/>
          <w:lang w:val="en-US" w:eastAsia="zh-CN"/>
        </w:rPr>
        <w:t>0</w:t>
      </w:r>
      <w:r>
        <w:rPr>
          <w:rFonts w:hint="eastAsia" w:ascii="宋体" w:hAnsi="宋体" w:eastAsia="宋体"/>
          <w:b w:val="0"/>
          <w:bCs/>
          <w:color w:val="auto"/>
          <w:sz w:val="21"/>
          <w:szCs w:val="21"/>
        </w:rPr>
        <w:t>0。</w:t>
      </w:r>
    </w:p>
    <w:p>
      <w:pPr>
        <w:spacing w:after="0"/>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2、</w:t>
      </w:r>
      <w:r>
        <w:rPr>
          <w:rFonts w:ascii="宋体" w:hAnsi="宋体" w:eastAsia="宋体"/>
          <w:b w:val="0"/>
          <w:bCs/>
          <w:color w:val="auto"/>
          <w:sz w:val="21"/>
          <w:szCs w:val="21"/>
        </w:rPr>
        <w:t>投标截止</w:t>
      </w:r>
      <w:r>
        <w:rPr>
          <w:rFonts w:hint="eastAsia" w:ascii="宋体" w:hAnsi="宋体" w:eastAsia="宋体"/>
          <w:b w:val="0"/>
          <w:bCs/>
          <w:color w:val="auto"/>
          <w:sz w:val="21"/>
          <w:szCs w:val="21"/>
        </w:rPr>
        <w:t>及开标时间：2018年</w:t>
      </w:r>
      <w:r>
        <w:rPr>
          <w:rFonts w:hint="eastAsia" w:ascii="宋体" w:hAnsi="宋体" w:eastAsia="宋体"/>
          <w:b w:val="0"/>
          <w:bCs/>
          <w:color w:val="auto"/>
          <w:sz w:val="21"/>
          <w:szCs w:val="21"/>
          <w:lang w:val="en-US" w:eastAsia="zh-CN"/>
        </w:rPr>
        <w:t>9</w:t>
      </w:r>
      <w:r>
        <w:rPr>
          <w:rFonts w:hint="eastAsia" w:ascii="宋体" w:hAnsi="宋体" w:eastAsia="宋体"/>
          <w:b w:val="0"/>
          <w:bCs/>
          <w:color w:val="auto"/>
          <w:sz w:val="21"/>
          <w:szCs w:val="21"/>
        </w:rPr>
        <w:t>月</w:t>
      </w:r>
      <w:r>
        <w:rPr>
          <w:rFonts w:hint="eastAsia" w:ascii="宋体" w:hAnsi="宋体" w:eastAsia="宋体"/>
          <w:b w:val="0"/>
          <w:bCs/>
          <w:color w:val="auto"/>
          <w:sz w:val="21"/>
          <w:szCs w:val="21"/>
          <w:lang w:val="en-US" w:eastAsia="zh-CN"/>
        </w:rPr>
        <w:t>14</w:t>
      </w:r>
      <w:r>
        <w:rPr>
          <w:rFonts w:hint="eastAsia" w:ascii="宋体" w:hAnsi="宋体" w:eastAsia="宋体"/>
          <w:b w:val="0"/>
          <w:bCs/>
          <w:color w:val="auto"/>
          <w:sz w:val="21"/>
          <w:szCs w:val="21"/>
        </w:rPr>
        <w:t>日</w:t>
      </w:r>
      <w:r>
        <w:rPr>
          <w:rFonts w:hint="eastAsia" w:ascii="宋体" w:hAnsi="宋体" w:eastAsia="宋体"/>
          <w:b w:val="0"/>
          <w:bCs/>
          <w:color w:val="auto"/>
          <w:sz w:val="21"/>
          <w:szCs w:val="21"/>
          <w:lang w:eastAsia="zh-CN"/>
        </w:rPr>
        <w:t>上</w:t>
      </w:r>
      <w:r>
        <w:rPr>
          <w:rFonts w:hint="eastAsia" w:ascii="宋体" w:hAnsi="宋体" w:eastAsia="宋体"/>
          <w:b w:val="0"/>
          <w:bCs/>
          <w:color w:val="auto"/>
          <w:sz w:val="21"/>
          <w:szCs w:val="21"/>
        </w:rPr>
        <w:t>午</w:t>
      </w:r>
      <w:r>
        <w:rPr>
          <w:rFonts w:hint="eastAsia" w:ascii="宋体" w:hAnsi="宋体" w:eastAsia="宋体"/>
          <w:b w:val="0"/>
          <w:bCs/>
          <w:color w:val="auto"/>
          <w:sz w:val="21"/>
          <w:szCs w:val="21"/>
          <w:lang w:val="en-US" w:eastAsia="zh-CN"/>
        </w:rPr>
        <w:t>10</w:t>
      </w:r>
      <w:r>
        <w:rPr>
          <w:rFonts w:hint="eastAsia" w:ascii="宋体" w:hAnsi="宋体" w:eastAsia="宋体"/>
          <w:b w:val="0"/>
          <w:bCs/>
          <w:color w:val="auto"/>
          <w:sz w:val="21"/>
          <w:szCs w:val="21"/>
        </w:rPr>
        <w:t>时</w:t>
      </w:r>
      <w:r>
        <w:rPr>
          <w:rFonts w:hint="eastAsia" w:ascii="宋体" w:hAnsi="宋体" w:eastAsia="宋体"/>
          <w:b w:val="0"/>
          <w:bCs/>
          <w:color w:val="auto"/>
          <w:sz w:val="21"/>
          <w:szCs w:val="21"/>
          <w:lang w:val="en-US" w:eastAsia="zh-CN"/>
        </w:rPr>
        <w:t>0</w:t>
      </w:r>
      <w:r>
        <w:rPr>
          <w:rFonts w:hint="eastAsia" w:ascii="宋体" w:hAnsi="宋体" w:eastAsia="宋体"/>
          <w:b w:val="0"/>
          <w:bCs/>
          <w:color w:val="auto"/>
          <w:sz w:val="21"/>
          <w:szCs w:val="21"/>
        </w:rPr>
        <w:t>0分。</w:t>
      </w:r>
    </w:p>
    <w:p>
      <w:pPr>
        <w:spacing w:after="0"/>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3、</w:t>
      </w:r>
      <w:r>
        <w:rPr>
          <w:rFonts w:ascii="宋体" w:hAnsi="宋体" w:eastAsia="宋体"/>
          <w:b w:val="0"/>
          <w:bCs/>
          <w:color w:val="auto"/>
          <w:sz w:val="21"/>
          <w:szCs w:val="21"/>
        </w:rPr>
        <w:t>开标地点：</w:t>
      </w:r>
      <w:r>
        <w:rPr>
          <w:rFonts w:hint="eastAsia" w:ascii="宋体" w:hAnsi="宋体" w:eastAsia="宋体"/>
          <w:b w:val="0"/>
          <w:bCs/>
          <w:color w:val="auto"/>
          <w:sz w:val="21"/>
          <w:szCs w:val="21"/>
        </w:rPr>
        <w:t>东莞市南城区鸿福西路81号国际商会大厦601室。</w:t>
      </w:r>
    </w:p>
    <w:p>
      <w:pPr>
        <w:spacing w:after="0"/>
        <w:ind w:firstLine="411" w:firstLineChars="196"/>
        <w:rPr>
          <w:rFonts w:ascii="宋体" w:hAnsi="宋体" w:eastAsia="宋体"/>
          <w:b w:val="0"/>
          <w:bCs/>
          <w:color w:val="auto"/>
          <w:sz w:val="21"/>
          <w:szCs w:val="21"/>
        </w:rPr>
      </w:pPr>
    </w:p>
    <w:p>
      <w:pPr>
        <w:spacing w:after="0"/>
        <w:ind w:firstLine="413" w:firstLineChars="196"/>
        <w:rPr>
          <w:rFonts w:ascii="宋体" w:hAnsi="宋体" w:eastAsia="宋体"/>
          <w:b w:val="0"/>
          <w:bCs/>
          <w:color w:val="auto"/>
          <w:sz w:val="21"/>
          <w:szCs w:val="21"/>
        </w:rPr>
      </w:pPr>
      <w:r>
        <w:rPr>
          <w:rFonts w:hint="eastAsia" w:ascii="宋体" w:hAnsi="宋体" w:eastAsia="宋体"/>
          <w:b/>
          <w:bCs w:val="0"/>
          <w:color w:val="auto"/>
          <w:sz w:val="21"/>
          <w:szCs w:val="21"/>
        </w:rPr>
        <w:t>五、采购人及采购代理机构的名称、地址和联系方法：</w:t>
      </w:r>
    </w:p>
    <w:p>
      <w:pPr>
        <w:spacing w:after="0"/>
        <w:ind w:firstLine="420" w:firstLineChars="200"/>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rPr>
        <w:t>采购人联系人：</w:t>
      </w:r>
      <w:r>
        <w:rPr>
          <w:rFonts w:hint="eastAsia" w:ascii="宋体" w:hAnsi="宋体" w:eastAsia="宋体"/>
          <w:b w:val="0"/>
          <w:bCs/>
          <w:color w:val="auto"/>
          <w:sz w:val="21"/>
          <w:szCs w:val="21"/>
          <w:lang w:eastAsia="zh-CN"/>
        </w:rPr>
        <w:t>袁生</w:t>
      </w:r>
    </w:p>
    <w:p>
      <w:pPr>
        <w:spacing w:after="0"/>
        <w:ind w:firstLine="420" w:firstLineChars="200"/>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rPr>
        <w:t>地址：</w:t>
      </w:r>
      <w:r>
        <w:rPr>
          <w:rFonts w:hint="eastAsia" w:ascii="宋体" w:hAnsi="宋体" w:eastAsia="宋体"/>
          <w:b w:val="0"/>
          <w:bCs/>
          <w:color w:val="auto"/>
          <w:sz w:val="21"/>
          <w:szCs w:val="21"/>
          <w:lang w:eastAsia="zh-CN"/>
        </w:rPr>
        <w:t>东莞市塘厦镇</w:t>
      </w:r>
    </w:p>
    <w:p>
      <w:pPr>
        <w:spacing w:after="0"/>
        <w:ind w:firstLine="420" w:firstLineChars="200"/>
        <w:rPr>
          <w:rFonts w:hint="eastAsia" w:ascii="宋体" w:hAnsi="宋体" w:eastAsia="宋体"/>
          <w:b w:val="0"/>
          <w:bCs/>
          <w:color w:val="auto"/>
          <w:sz w:val="21"/>
          <w:szCs w:val="21"/>
          <w:lang w:val="en-US" w:eastAsia="zh-CN"/>
        </w:rPr>
      </w:pPr>
      <w:r>
        <w:rPr>
          <w:rFonts w:hint="eastAsia" w:ascii="宋体" w:hAnsi="宋体" w:eastAsia="宋体"/>
          <w:b w:val="0"/>
          <w:bCs/>
          <w:color w:val="auto"/>
          <w:sz w:val="21"/>
          <w:szCs w:val="21"/>
        </w:rPr>
        <w:t>联系电话：0769-87908999</w:t>
      </w:r>
    </w:p>
    <w:p>
      <w:pPr>
        <w:spacing w:after="0"/>
        <w:ind w:firstLine="420" w:firstLineChars="200"/>
        <w:rPr>
          <w:rFonts w:ascii="宋体" w:hAnsi="宋体" w:eastAsia="宋体"/>
          <w:color w:val="auto"/>
          <w:sz w:val="21"/>
          <w:szCs w:val="21"/>
        </w:rPr>
      </w:pP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采购代理机构名称：广东三方诚信招标有限公司</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地址：广东省东莞市南城区鸿福西路81号国际商会大厦601室。</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采购代理机构联系人：李学明</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联系电话：0769-21682660-805</w:t>
      </w:r>
    </w:p>
    <w:p>
      <w:pPr>
        <w:spacing w:after="0"/>
        <w:ind w:firstLine="420" w:firstLineChars="200"/>
        <w:rPr>
          <w:color w:val="auto"/>
        </w:rPr>
      </w:pPr>
      <w:r>
        <w:rPr>
          <w:rFonts w:hint="eastAsia" w:ascii="宋体" w:hAnsi="宋体" w:eastAsia="宋体"/>
          <w:color w:val="auto"/>
          <w:sz w:val="21"/>
          <w:szCs w:val="21"/>
        </w:rPr>
        <w:t>E－ mail：529129667@qq.com</w:t>
      </w:r>
    </w:p>
    <w:p>
      <w:pPr>
        <w:rPr>
          <w:color w:val="auto"/>
        </w:rPr>
      </w:pPr>
    </w:p>
    <w:p>
      <w:pPr>
        <w:ind w:right="788" w:rightChars="358"/>
        <w:jc w:val="right"/>
        <w:rPr>
          <w:color w:val="auto"/>
        </w:rPr>
      </w:pPr>
    </w:p>
    <w:p>
      <w:pPr>
        <w:ind w:right="788" w:rightChars="358"/>
        <w:jc w:val="right"/>
        <w:rPr>
          <w:color w:val="auto"/>
        </w:rPr>
      </w:pPr>
    </w:p>
    <w:p>
      <w:pPr>
        <w:ind w:right="788" w:rightChars="358"/>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广东三方诚信招标有限公司</w:t>
      </w:r>
    </w:p>
    <w:p>
      <w:pPr>
        <w:ind w:left="6481" w:leftChars="2755" w:hanging="420" w:hanging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二〇一八年</w:t>
      </w: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月</w:t>
      </w:r>
    </w:p>
    <w:p>
      <w:pPr>
        <w:ind w:left="6481" w:leftChars="2755" w:hanging="420" w:hangingChars="200"/>
        <w:jc w:val="left"/>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ind w:left="6481" w:leftChars="2755" w:hanging="420" w:hangingChars="200"/>
        <w:jc w:val="left"/>
        <w:rPr>
          <w:rFonts w:hint="eastAsia" w:ascii="宋体" w:hAnsi="宋体" w:eastAsia="宋体" w:cs="宋体"/>
          <w:color w:val="auto"/>
          <w:sz w:val="21"/>
          <w:szCs w:val="21"/>
        </w:rPr>
      </w:pPr>
    </w:p>
    <w:p>
      <w:pPr>
        <w:jc w:val="left"/>
        <w:rPr>
          <w:rFonts w:hint="eastAsia" w:ascii="宋体" w:hAnsi="宋体" w:eastAsia="宋体" w:cs="宋体"/>
          <w:color w:val="auto"/>
          <w:sz w:val="21"/>
          <w:szCs w:val="21"/>
        </w:rPr>
      </w:pPr>
    </w:p>
    <w:p>
      <w:pPr>
        <w:pStyle w:val="2"/>
        <w:jc w:val="center"/>
        <w:rPr>
          <w:color w:val="auto"/>
        </w:rPr>
      </w:pPr>
      <w:bookmarkStart w:id="2" w:name="_Toc8017"/>
      <w:r>
        <w:rPr>
          <w:rFonts w:hint="eastAsia"/>
          <w:color w:val="auto"/>
          <w:sz w:val="52"/>
          <w:szCs w:val="52"/>
        </w:rPr>
        <w:t>第二部分 投标资料表</w:t>
      </w:r>
      <w:bookmarkEnd w:id="2"/>
    </w:p>
    <w:p>
      <w:pPr>
        <w:spacing w:after="0"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br w:type="page"/>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本表关于要采购项目的具体资料，是对投标人须知的具体补充和修改，如有矛盾，应以本资料表为准。</w:t>
      </w:r>
    </w:p>
    <w:tbl>
      <w:tblPr>
        <w:tblStyle w:val="18"/>
        <w:tblW w:w="9357" w:type="dxa"/>
        <w:tblInd w:w="-373"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1277"/>
        <w:gridCol w:w="2551"/>
        <w:gridCol w:w="2633"/>
        <w:gridCol w:w="202"/>
        <w:gridCol w:w="2694"/>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1277"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8080" w:type="dxa"/>
            <w:gridSpan w:val="4"/>
            <w:vAlign w:val="center"/>
          </w:tcPr>
          <w:p>
            <w:pPr>
              <w:jc w:val="center"/>
              <w:rPr>
                <w:rFonts w:ascii="宋体" w:hAnsi="宋体" w:eastAsia="宋体"/>
                <w:b/>
                <w:color w:val="auto"/>
                <w:sz w:val="21"/>
                <w:szCs w:val="21"/>
              </w:rPr>
            </w:pPr>
            <w:r>
              <w:rPr>
                <w:rFonts w:hint="eastAsia" w:ascii="宋体" w:hAnsi="宋体" w:eastAsia="宋体"/>
                <w:b/>
                <w:color w:val="auto"/>
                <w:sz w:val="21"/>
                <w:szCs w:val="21"/>
              </w:rPr>
              <w:t>内</w:t>
            </w:r>
            <w:r>
              <w:rPr>
                <w:rFonts w:ascii="宋体" w:hAnsi="宋体" w:eastAsia="宋体"/>
                <w:b/>
                <w:color w:val="auto"/>
                <w:sz w:val="21"/>
                <w:szCs w:val="21"/>
              </w:rPr>
              <w:t xml:space="preserve">      </w:t>
            </w:r>
            <w:r>
              <w:rPr>
                <w:rFonts w:hint="eastAsia" w:ascii="宋体" w:hAnsi="宋体" w:eastAsia="宋体"/>
                <w:b/>
                <w:color w:val="auto"/>
                <w:sz w:val="21"/>
                <w:szCs w:val="21"/>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9357"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w:t>
            </w:r>
          </w:p>
        </w:tc>
        <w:tc>
          <w:tcPr>
            <w:tcW w:w="8080" w:type="dxa"/>
            <w:gridSpan w:val="4"/>
            <w:vAlign w:val="center"/>
          </w:tcPr>
          <w:p>
            <w:pPr>
              <w:spacing w:after="0"/>
              <w:rPr>
                <w:rFonts w:ascii="宋体" w:hAnsi="宋体" w:eastAsia="宋体"/>
                <w:b/>
                <w:bCs/>
                <w:color w:val="auto"/>
                <w:sz w:val="21"/>
                <w:szCs w:val="21"/>
              </w:rPr>
            </w:pPr>
            <w:r>
              <w:rPr>
                <w:rFonts w:hint="eastAsia" w:ascii="宋体" w:hAnsi="宋体" w:eastAsia="宋体"/>
                <w:b/>
                <w:bCs/>
                <w:color w:val="auto"/>
                <w:sz w:val="21"/>
                <w:szCs w:val="21"/>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rPr>
                <w:rFonts w:ascii="宋体" w:hAnsi="宋体" w:eastAsia="宋体"/>
                <w:b/>
                <w:bCs/>
                <w:color w:val="auto"/>
                <w:sz w:val="21"/>
                <w:szCs w:val="21"/>
              </w:rPr>
            </w:pPr>
            <w:r>
              <w:rPr>
                <w:rFonts w:hint="eastAsia" w:ascii="宋体" w:hAnsi="宋体" w:eastAsia="宋体"/>
                <w:bCs/>
                <w:color w:val="auto"/>
                <w:sz w:val="21"/>
                <w:szCs w:val="21"/>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2</w:t>
            </w:r>
          </w:p>
        </w:tc>
        <w:tc>
          <w:tcPr>
            <w:tcW w:w="8080" w:type="dxa"/>
            <w:gridSpan w:val="4"/>
            <w:vAlign w:val="center"/>
          </w:tcPr>
          <w:p>
            <w:pPr>
              <w:spacing w:after="0"/>
              <w:rPr>
                <w:rFonts w:ascii="宋体" w:hAnsi="宋体" w:eastAsia="宋体"/>
                <w:b/>
                <w:bCs/>
                <w:color w:val="auto"/>
                <w:sz w:val="21"/>
                <w:szCs w:val="21"/>
              </w:rPr>
            </w:pPr>
            <w:r>
              <w:rPr>
                <w:rFonts w:hint="eastAsia" w:ascii="宋体" w:hAnsi="宋体" w:eastAsia="宋体"/>
                <w:b/>
                <w:bCs/>
                <w:color w:val="auto"/>
                <w:sz w:val="21"/>
                <w:szCs w:val="21"/>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rPr>
                <w:rFonts w:ascii="宋体" w:hAnsi="宋体" w:eastAsia="宋体"/>
                <w:b/>
                <w:bCs/>
                <w:color w:val="auto"/>
                <w:sz w:val="21"/>
                <w:szCs w:val="21"/>
              </w:rPr>
            </w:pPr>
            <w:r>
              <w:rPr>
                <w:rFonts w:hint="eastAsia" w:ascii="宋体" w:hAnsi="宋体" w:eastAsia="宋体"/>
                <w:color w:val="auto"/>
                <w:sz w:val="21"/>
                <w:szCs w:val="21"/>
              </w:rPr>
              <w:t>财政性资金。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3</w:t>
            </w:r>
          </w:p>
        </w:tc>
        <w:tc>
          <w:tcPr>
            <w:tcW w:w="8080" w:type="dxa"/>
            <w:gridSpan w:val="4"/>
            <w:vAlign w:val="center"/>
          </w:tcPr>
          <w:p>
            <w:pPr>
              <w:spacing w:after="0"/>
              <w:rPr>
                <w:rFonts w:ascii="宋体" w:hAnsi="宋体" w:eastAsia="宋体"/>
                <w:b/>
                <w:color w:val="auto"/>
                <w:sz w:val="21"/>
                <w:szCs w:val="21"/>
              </w:rPr>
            </w:pPr>
            <w:r>
              <w:rPr>
                <w:rFonts w:hint="eastAsia" w:ascii="宋体" w:hAnsi="宋体" w:eastAsia="宋体"/>
                <w:b/>
                <w:color w:val="auto"/>
                <w:sz w:val="21"/>
                <w:szCs w:val="21"/>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rPr>
                <w:rFonts w:ascii="宋体" w:hAnsi="宋体" w:eastAsia="宋体"/>
                <w:b/>
                <w:color w:val="auto"/>
                <w:sz w:val="21"/>
                <w:szCs w:val="21"/>
              </w:rPr>
            </w:pPr>
            <w:r>
              <w:rPr>
                <w:rFonts w:hint="eastAsia" w:ascii="宋体" w:hAnsi="宋体" w:eastAsia="宋体"/>
                <w:bCs/>
                <w:color w:val="auto"/>
                <w:sz w:val="21"/>
                <w:szCs w:val="21"/>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4</w:t>
            </w:r>
          </w:p>
        </w:tc>
        <w:tc>
          <w:tcPr>
            <w:tcW w:w="8080" w:type="dxa"/>
            <w:gridSpan w:val="4"/>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1277" w:type="dxa"/>
            <w:vMerge w:val="continue"/>
            <w:vAlign w:val="center"/>
          </w:tcPr>
          <w:p>
            <w:pPr>
              <w:spacing w:after="0"/>
              <w:jc w:val="center"/>
              <w:rPr>
                <w:rFonts w:ascii="宋体" w:hAnsi="宋体" w:eastAsia="宋体"/>
                <w:color w:val="auto"/>
                <w:sz w:val="21"/>
                <w:szCs w:val="21"/>
              </w:rPr>
            </w:pPr>
          </w:p>
        </w:tc>
        <w:tc>
          <w:tcPr>
            <w:tcW w:w="2551"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东莞市政府采购网</w:t>
            </w:r>
          </w:p>
        </w:tc>
        <w:tc>
          <w:tcPr>
            <w:tcW w:w="2835"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广东省政府采购网</w:t>
            </w:r>
          </w:p>
        </w:tc>
        <w:tc>
          <w:tcPr>
            <w:tcW w:w="2694"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60" w:hRule="atLeast"/>
        </w:trPr>
        <w:tc>
          <w:tcPr>
            <w:tcW w:w="1277" w:type="dxa"/>
            <w:vMerge w:val="continue"/>
            <w:vAlign w:val="center"/>
          </w:tcPr>
          <w:p>
            <w:pPr>
              <w:spacing w:after="0"/>
              <w:jc w:val="center"/>
              <w:rPr>
                <w:rFonts w:ascii="宋体" w:hAnsi="宋体" w:eastAsia="宋体"/>
                <w:color w:val="auto"/>
                <w:sz w:val="21"/>
                <w:szCs w:val="21"/>
              </w:rPr>
            </w:pPr>
          </w:p>
        </w:tc>
        <w:tc>
          <w:tcPr>
            <w:tcW w:w="2551" w:type="dxa"/>
            <w:vAlign w:val="center"/>
          </w:tcPr>
          <w:p>
            <w:pPr>
              <w:spacing w:after="0"/>
              <w:jc w:val="center"/>
              <w:rPr>
                <w:rFonts w:ascii="宋体" w:hAnsi="宋体" w:eastAsia="宋体"/>
                <w:b/>
                <w:color w:val="auto"/>
                <w:sz w:val="21"/>
                <w:szCs w:val="21"/>
              </w:rPr>
            </w:pPr>
            <w:r>
              <w:rPr>
                <w:rFonts w:ascii="宋体" w:hAnsi="宋体" w:eastAsia="宋体"/>
                <w:color w:val="auto"/>
                <w:sz w:val="21"/>
                <w:szCs w:val="21"/>
              </w:rPr>
              <w:t>http://dggp.dg.gov.cn</w:t>
            </w:r>
          </w:p>
        </w:tc>
        <w:tc>
          <w:tcPr>
            <w:tcW w:w="2835" w:type="dxa"/>
            <w:gridSpan w:val="2"/>
            <w:vAlign w:val="center"/>
          </w:tcPr>
          <w:p>
            <w:pPr>
              <w:spacing w:after="0"/>
              <w:jc w:val="center"/>
              <w:rPr>
                <w:rFonts w:ascii="宋体" w:hAnsi="宋体" w:eastAsia="宋体"/>
                <w:b/>
                <w:color w:val="auto"/>
                <w:sz w:val="21"/>
                <w:szCs w:val="21"/>
              </w:rPr>
            </w:pPr>
            <w:r>
              <w:rPr>
                <w:rFonts w:ascii="宋体" w:hAnsi="宋体" w:eastAsia="宋体"/>
                <w:color w:val="auto"/>
                <w:sz w:val="21"/>
                <w:szCs w:val="21"/>
              </w:rPr>
              <w:t>http://www.gdgpo.gov.cn</w:t>
            </w:r>
          </w:p>
        </w:tc>
        <w:tc>
          <w:tcPr>
            <w:tcW w:w="2694" w:type="dxa"/>
            <w:vAlign w:val="center"/>
          </w:tcPr>
          <w:p>
            <w:pPr>
              <w:spacing w:after="0"/>
              <w:jc w:val="center"/>
              <w:rPr>
                <w:rFonts w:ascii="宋体" w:hAnsi="宋体" w:eastAsia="宋体"/>
                <w:b/>
                <w:color w:val="auto"/>
                <w:sz w:val="21"/>
                <w:szCs w:val="21"/>
              </w:rPr>
            </w:pPr>
            <w:r>
              <w:rPr>
                <w:rFonts w:ascii="宋体" w:hAnsi="宋体" w:eastAsia="宋体"/>
                <w:color w:val="auto"/>
                <w:sz w:val="21"/>
                <w:szCs w:val="21"/>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845" w:hRule="atLeast"/>
        </w:trPr>
        <w:tc>
          <w:tcPr>
            <w:tcW w:w="9357"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5</w:t>
            </w:r>
          </w:p>
        </w:tc>
        <w:tc>
          <w:tcPr>
            <w:tcW w:w="8080" w:type="dxa"/>
            <w:gridSpan w:val="4"/>
            <w:vAlign w:val="center"/>
          </w:tcPr>
          <w:p>
            <w:pPr>
              <w:spacing w:after="0"/>
              <w:rPr>
                <w:rFonts w:ascii="宋体" w:hAnsi="宋体" w:eastAsia="宋体"/>
                <w:b/>
                <w:color w:val="auto"/>
                <w:sz w:val="21"/>
                <w:szCs w:val="21"/>
              </w:rPr>
            </w:pPr>
            <w:r>
              <w:rPr>
                <w:rFonts w:hint="eastAsia" w:ascii="宋体" w:hAnsi="宋体" w:eastAsia="宋体"/>
                <w:b/>
                <w:color w:val="auto"/>
                <w:sz w:val="21"/>
                <w:szCs w:val="21"/>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rPr>
                <w:rFonts w:ascii="宋体" w:hAnsi="宋体" w:eastAsia="宋体"/>
                <w:b/>
                <w:color w:val="auto"/>
                <w:sz w:val="21"/>
                <w:szCs w:val="21"/>
              </w:rPr>
            </w:pPr>
            <w:r>
              <w:rPr>
                <w:rFonts w:hint="eastAsia" w:ascii="宋体" w:hAnsi="宋体" w:eastAsia="宋体"/>
                <w:color w:val="auto"/>
                <w:sz w:val="21"/>
                <w:szCs w:val="21"/>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6</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7</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8</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（1）投标保证金金额：人民币</w:t>
            </w:r>
            <w:r>
              <w:rPr>
                <w:rFonts w:hint="eastAsia" w:ascii="宋体" w:hAnsi="宋体" w:eastAsia="宋体"/>
                <w:color w:val="auto"/>
                <w:sz w:val="21"/>
                <w:szCs w:val="21"/>
                <w:lang w:eastAsia="zh-CN"/>
              </w:rPr>
              <w:t>玖仟</w:t>
            </w:r>
            <w:r>
              <w:rPr>
                <w:rFonts w:hint="eastAsia" w:ascii="宋体" w:hAnsi="宋体" w:eastAsia="宋体"/>
                <w:color w:val="auto"/>
                <w:sz w:val="21"/>
                <w:szCs w:val="21"/>
              </w:rPr>
              <w:t>元整（￥</w:t>
            </w:r>
            <w:r>
              <w:rPr>
                <w:rFonts w:hint="eastAsia" w:ascii="宋体" w:hAnsi="宋体" w:eastAsia="宋体"/>
                <w:color w:val="auto"/>
                <w:sz w:val="21"/>
                <w:szCs w:val="21"/>
                <w:lang w:val="en-US" w:eastAsia="zh-CN"/>
              </w:rPr>
              <w:t>9,000.00</w:t>
            </w:r>
            <w:r>
              <w:rPr>
                <w:rFonts w:hint="eastAsia" w:ascii="宋体" w:hAnsi="宋体" w:eastAsia="宋体"/>
                <w:color w:val="auto"/>
                <w:sz w:val="21"/>
                <w:szCs w:val="21"/>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zh-CN"/>
              </w:rPr>
              <w:t>投标保证金须严格按“招标文件第五章投标人须知”要求提交。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1600"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（3）保证金递交账户：</w:t>
            </w:r>
          </w:p>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收款人：广东三方诚信招标有限公司东莞分公司</w:t>
            </w:r>
          </w:p>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开户行：中国建设银行东莞分行胜和支行</w:t>
            </w:r>
          </w:p>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帐  号：44001101129052500294</w:t>
            </w:r>
          </w:p>
          <w:p>
            <w:pPr>
              <w:spacing w:after="0"/>
              <w:jc w:val="both"/>
              <w:rPr>
                <w:rFonts w:ascii="宋体" w:hAnsi="宋体" w:eastAsia="宋体"/>
                <w:color w:val="auto"/>
                <w:sz w:val="21"/>
                <w:szCs w:val="21"/>
              </w:rPr>
            </w:pPr>
            <w:r>
              <w:rPr>
                <w:rFonts w:hint="eastAsia" w:ascii="宋体" w:hAnsi="宋体" w:eastAsia="宋体"/>
                <w:color w:val="auto"/>
                <w:sz w:val="21"/>
                <w:szCs w:val="21"/>
                <w:lang w:val="zh-CN"/>
              </w:rPr>
              <w:t>（各投标人在转帐或电汇时须在用途栏上写明采购编号）。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9</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10</w:t>
            </w:r>
          </w:p>
        </w:tc>
        <w:tc>
          <w:tcPr>
            <w:tcW w:w="8080" w:type="dxa"/>
            <w:gridSpan w:val="4"/>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continue"/>
            <w:vAlign w:val="center"/>
          </w:tcPr>
          <w:p>
            <w:pPr>
              <w:spacing w:after="0"/>
              <w:jc w:val="center"/>
              <w:rPr>
                <w:rFonts w:ascii="宋体" w:hAnsi="宋体" w:eastAsia="宋体"/>
                <w:color w:val="auto"/>
                <w:sz w:val="21"/>
                <w:szCs w:val="21"/>
              </w:rPr>
            </w:pPr>
          </w:p>
        </w:tc>
        <w:tc>
          <w:tcPr>
            <w:tcW w:w="5184"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投标文件类型</w:t>
            </w:r>
          </w:p>
        </w:tc>
        <w:tc>
          <w:tcPr>
            <w:tcW w:w="2896"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continue"/>
            <w:vAlign w:val="center"/>
          </w:tcPr>
          <w:p>
            <w:pPr>
              <w:spacing w:after="0"/>
              <w:jc w:val="center"/>
              <w:rPr>
                <w:rFonts w:ascii="宋体" w:hAnsi="宋体" w:eastAsia="宋体"/>
                <w:color w:val="auto"/>
                <w:sz w:val="21"/>
                <w:szCs w:val="21"/>
              </w:rPr>
            </w:pPr>
          </w:p>
        </w:tc>
        <w:tc>
          <w:tcPr>
            <w:tcW w:w="5184"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唱标文件</w:t>
            </w:r>
          </w:p>
        </w:tc>
        <w:tc>
          <w:tcPr>
            <w:tcW w:w="2896"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continue"/>
            <w:vAlign w:val="center"/>
          </w:tcPr>
          <w:p>
            <w:pPr>
              <w:spacing w:after="0"/>
              <w:jc w:val="center"/>
              <w:rPr>
                <w:rFonts w:ascii="宋体" w:hAnsi="宋体" w:eastAsia="宋体"/>
                <w:color w:val="auto"/>
                <w:sz w:val="21"/>
                <w:szCs w:val="21"/>
              </w:rPr>
            </w:pPr>
          </w:p>
        </w:tc>
        <w:tc>
          <w:tcPr>
            <w:tcW w:w="5184"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投标文件正本</w:t>
            </w:r>
          </w:p>
        </w:tc>
        <w:tc>
          <w:tcPr>
            <w:tcW w:w="2896"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continue"/>
            <w:vAlign w:val="center"/>
          </w:tcPr>
          <w:p>
            <w:pPr>
              <w:spacing w:after="0"/>
              <w:jc w:val="center"/>
              <w:rPr>
                <w:rFonts w:ascii="宋体" w:hAnsi="宋体" w:eastAsia="宋体"/>
                <w:color w:val="auto"/>
                <w:sz w:val="21"/>
                <w:szCs w:val="21"/>
              </w:rPr>
            </w:pPr>
          </w:p>
        </w:tc>
        <w:tc>
          <w:tcPr>
            <w:tcW w:w="5184"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投标文件副本</w:t>
            </w:r>
          </w:p>
        </w:tc>
        <w:tc>
          <w:tcPr>
            <w:tcW w:w="2896" w:type="dxa"/>
            <w:gridSpan w:val="2"/>
            <w:vAlign w:val="center"/>
          </w:tcPr>
          <w:p>
            <w:pPr>
              <w:spacing w:after="0"/>
              <w:jc w:val="center"/>
              <w:rPr>
                <w:rFonts w:hint="eastAsia" w:ascii="宋体" w:hAnsi="宋体" w:eastAsia="宋体"/>
                <w:b/>
                <w:color w:val="auto"/>
                <w:sz w:val="21"/>
                <w:szCs w:val="21"/>
                <w:lang w:eastAsia="zh-CN"/>
              </w:rPr>
            </w:pPr>
            <w:r>
              <w:rPr>
                <w:rFonts w:hint="eastAsia" w:ascii="宋体" w:hAnsi="宋体" w:eastAsia="宋体"/>
                <w:b/>
                <w:color w:val="auto"/>
                <w:sz w:val="21"/>
                <w:szCs w:val="21"/>
                <w:lang w:val="en-US" w:eastAsia="zh-CN"/>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1277" w:type="dxa"/>
            <w:vMerge w:val="continue"/>
            <w:vAlign w:val="center"/>
          </w:tcPr>
          <w:p>
            <w:pPr>
              <w:spacing w:after="0"/>
              <w:jc w:val="center"/>
              <w:rPr>
                <w:rFonts w:ascii="宋体" w:hAnsi="宋体" w:eastAsia="宋体"/>
                <w:color w:val="auto"/>
                <w:sz w:val="21"/>
                <w:szCs w:val="21"/>
              </w:rPr>
            </w:pPr>
          </w:p>
        </w:tc>
        <w:tc>
          <w:tcPr>
            <w:tcW w:w="5184"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电子文档</w:t>
            </w:r>
          </w:p>
        </w:tc>
        <w:tc>
          <w:tcPr>
            <w:tcW w:w="2896"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9357"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11</w:t>
            </w: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本项目核心产品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详见用户需求中带“●”的产品。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12</w:t>
            </w: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13</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见附表一。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14</w:t>
            </w: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符合投标人须知“优惠政策”中联合体规定的投标价格折扣标准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2%。</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cantSplit/>
          <w:trHeight w:val="817" w:hRule="atLeast"/>
        </w:trPr>
        <w:tc>
          <w:tcPr>
            <w:tcW w:w="9357"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437" w:hRule="atLeast"/>
        </w:trPr>
        <w:tc>
          <w:tcPr>
            <w:tcW w:w="1277"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15</w:t>
            </w:r>
          </w:p>
        </w:tc>
        <w:tc>
          <w:tcPr>
            <w:tcW w:w="8080" w:type="dxa"/>
            <w:gridSpan w:val="4"/>
            <w:shd w:val="clear" w:color="auto" w:fill="auto"/>
            <w:vAlign w:val="center"/>
          </w:tcPr>
          <w:p>
            <w:pPr>
              <w:spacing w:after="0"/>
              <w:jc w:val="both"/>
              <w:rPr>
                <w:rFonts w:hint="eastAsia" w:ascii="宋体" w:hAnsi="宋体" w:eastAsia="宋体"/>
                <w:b/>
                <w:color w:val="auto"/>
                <w:sz w:val="21"/>
                <w:szCs w:val="21"/>
                <w:lang w:val="en-US" w:eastAsia="zh-CN"/>
              </w:rPr>
            </w:pPr>
            <w:r>
              <w:rPr>
                <w:rFonts w:hint="eastAsia" w:ascii="宋体" w:hAnsi="宋体" w:eastAsia="宋体"/>
                <w:b/>
                <w:color w:val="auto"/>
                <w:sz w:val="21"/>
                <w:szCs w:val="21"/>
              </w:rPr>
              <w:t>履约保证金</w:t>
            </w:r>
            <w:r>
              <w:rPr>
                <w:rFonts w:hint="eastAsia" w:ascii="宋体" w:hAnsi="宋体" w:eastAsia="宋体"/>
                <w:b/>
                <w:color w:val="auto"/>
                <w:sz w:val="21"/>
                <w:szCs w:val="21"/>
                <w:lang w:eastAsia="zh-CN"/>
              </w:rPr>
              <w:t>（如有需要）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shd w:val="clear" w:color="auto" w:fill="auto"/>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565" w:hRule="atLeast"/>
        </w:trPr>
        <w:tc>
          <w:tcPr>
            <w:tcW w:w="1277" w:type="dxa"/>
            <w:vMerge w:val="restart"/>
            <w:vAlign w:val="center"/>
          </w:tcPr>
          <w:p>
            <w:pPr>
              <w:spacing w:after="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16</w:t>
            </w:r>
          </w:p>
        </w:tc>
        <w:tc>
          <w:tcPr>
            <w:tcW w:w="8080"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716"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widowControl w:val="0"/>
              <w:tabs>
                <w:tab w:val="left" w:pos="907"/>
              </w:tabs>
              <w:adjustRightInd/>
              <w:snapToGrid/>
              <w:spacing w:after="0" w:line="360" w:lineRule="exact"/>
              <w:jc w:val="both"/>
              <w:rPr>
                <w:rFonts w:ascii="宋体" w:hAnsi="宋体" w:eastAsia="宋体"/>
                <w:b/>
                <w:color w:val="auto"/>
                <w:sz w:val="21"/>
                <w:szCs w:val="21"/>
              </w:rPr>
            </w:pPr>
            <w:r>
              <w:rPr>
                <w:rFonts w:hint="eastAsia" w:ascii="宋体" w:hAnsi="宋体" w:eastAsia="宋体"/>
                <w:color w:val="auto"/>
                <w:sz w:val="21"/>
                <w:szCs w:val="21"/>
              </w:rPr>
              <w:t>（1）中标服务费根据国家计委[计价格[2002]1980号]文和国家发改委[发改价格[2011]534号]文及相关规定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Ex>
        <w:trPr>
          <w:trHeight w:val="1170" w:hRule="atLeast"/>
        </w:trPr>
        <w:tc>
          <w:tcPr>
            <w:tcW w:w="1277" w:type="dxa"/>
            <w:vMerge w:val="continue"/>
            <w:vAlign w:val="center"/>
          </w:tcPr>
          <w:p>
            <w:pPr>
              <w:spacing w:after="0"/>
              <w:jc w:val="center"/>
              <w:rPr>
                <w:rFonts w:ascii="宋体" w:hAnsi="宋体" w:eastAsia="宋体"/>
                <w:color w:val="auto"/>
                <w:sz w:val="21"/>
                <w:szCs w:val="21"/>
              </w:rPr>
            </w:pPr>
          </w:p>
        </w:tc>
        <w:tc>
          <w:tcPr>
            <w:tcW w:w="8080"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（2）中标服务费以转账或现金的形式支付。采购代理机构服务费汇入账号：</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收 款 人</w:t>
            </w:r>
            <w:r>
              <w:rPr>
                <w:rFonts w:ascii="宋体" w:hAnsi="宋体" w:eastAsia="宋体"/>
                <w:color w:val="auto"/>
                <w:sz w:val="21"/>
                <w:szCs w:val="21"/>
              </w:rPr>
              <w:t>：</w:t>
            </w:r>
            <w:r>
              <w:rPr>
                <w:rFonts w:hint="eastAsia" w:ascii="宋体" w:hAnsi="宋体" w:eastAsia="宋体"/>
                <w:color w:val="auto"/>
                <w:sz w:val="21"/>
                <w:szCs w:val="21"/>
              </w:rPr>
              <w:t>广东三方诚信招标有限公司东莞分公司</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ascii="宋体" w:hAnsi="宋体" w:eastAsia="宋体"/>
                <w:color w:val="auto"/>
                <w:sz w:val="21"/>
                <w:szCs w:val="21"/>
              </w:rPr>
              <w:t>开户银行：</w:t>
            </w:r>
            <w:r>
              <w:rPr>
                <w:rFonts w:hint="eastAsia" w:ascii="宋体" w:hAnsi="宋体" w:eastAsia="宋体"/>
                <w:color w:val="auto"/>
                <w:sz w:val="21"/>
                <w:szCs w:val="21"/>
              </w:rPr>
              <w:t>中国工商银行东莞市分行</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ascii="宋体" w:hAnsi="宋体" w:eastAsia="宋体"/>
                <w:color w:val="auto"/>
                <w:sz w:val="21"/>
                <w:szCs w:val="21"/>
              </w:rPr>
              <w:t>帐　　号：</w:t>
            </w:r>
            <w:r>
              <w:rPr>
                <w:rFonts w:hint="eastAsia" w:ascii="宋体" w:hAnsi="宋体" w:eastAsia="宋体"/>
                <w:color w:val="auto"/>
                <w:sz w:val="21"/>
                <w:szCs w:val="21"/>
              </w:rPr>
              <w:t>2010021309900018461</w:t>
            </w:r>
          </w:p>
        </w:tc>
      </w:tr>
    </w:tbl>
    <w:p>
      <w:pPr>
        <w:jc w:val="center"/>
        <w:rPr>
          <w:rFonts w:hint="eastAsia"/>
          <w:color w:val="auto"/>
        </w:rPr>
      </w:pPr>
      <w:r>
        <w:rPr>
          <w:rFonts w:hint="eastAsia"/>
          <w:color w:val="auto"/>
        </w:rPr>
        <w:br w:type="page"/>
      </w:r>
    </w:p>
    <w:p>
      <w:pPr>
        <w:jc w:val="center"/>
        <w:rPr>
          <w:color w:val="auto"/>
        </w:rPr>
      </w:pPr>
      <w:r>
        <w:rPr>
          <w:rFonts w:hint="eastAsia"/>
          <w:color w:val="auto"/>
        </w:rPr>
        <w:t>附表一：商务技术评分及价格权重表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评分内容</w:t>
            </w:r>
          </w:p>
        </w:tc>
        <w:tc>
          <w:tcPr>
            <w:tcW w:w="762"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商务评分（20分）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690" w:type="dxa"/>
            <w:vMerge w:val="restart"/>
            <w:tcBorders>
              <w:top w:val="single" w:color="auto" w:sz="4" w:space="0"/>
              <w:left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vMerge w:val="restart"/>
            <w:tcBorders>
              <w:top w:val="single" w:color="auto" w:sz="4" w:space="0"/>
              <w:left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公司实力</w:t>
            </w:r>
          </w:p>
          <w:p>
            <w:pPr>
              <w:spacing w:after="0"/>
              <w:jc w:val="center"/>
              <w:rPr>
                <w:rFonts w:ascii="宋体" w:hAnsi="宋体" w:eastAsia="宋体" w:cs="宋体"/>
                <w:color w:val="auto"/>
                <w:sz w:val="21"/>
                <w:szCs w:val="21"/>
                <w:highlight w:val="none"/>
              </w:rPr>
            </w:pPr>
          </w:p>
        </w:tc>
        <w:tc>
          <w:tcPr>
            <w:tcW w:w="762" w:type="dxa"/>
            <w:vMerge w:val="restart"/>
            <w:tcBorders>
              <w:top w:val="single" w:color="auto" w:sz="4" w:space="0"/>
              <w:left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rPr>
                <w:rFonts w:ascii="宋体" w:cs="宋体"/>
                <w:color w:val="auto"/>
                <w:sz w:val="21"/>
                <w:szCs w:val="21"/>
                <w:highlight w:val="none"/>
              </w:rPr>
            </w:pPr>
            <w:r>
              <w:rPr>
                <w:rFonts w:hint="eastAsia" w:ascii="宋体" w:hAnsi="宋体"/>
                <w:color w:val="auto"/>
                <w:sz w:val="21"/>
                <w:szCs w:val="21"/>
                <w:highlight w:val="none"/>
              </w:rPr>
              <w:t>1、投标人自2010年以来，连续五年或以上获得由工商行政部门颁发“守合同重信用企业”证书的得</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分；连续五年以下三年或以上获得的</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分；连续获得不足三年不得分。（须提供相关证书复印件并加盖投标人公章）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690" w:type="dxa"/>
            <w:vMerge w:val="continue"/>
            <w:tcBorders>
              <w:left w:val="single" w:color="auto" w:sz="4" w:space="0"/>
              <w:right w:val="single" w:color="auto" w:sz="4" w:space="0"/>
            </w:tcBorders>
            <w:vAlign w:val="center"/>
          </w:tcPr>
          <w:p>
            <w:pPr>
              <w:pStyle w:val="25"/>
              <w:spacing w:line="340" w:lineRule="exact"/>
              <w:ind w:firstLine="0" w:firstLineChars="0"/>
              <w:jc w:val="left"/>
              <w:rPr>
                <w:color w:val="auto"/>
                <w:highlight w:val="none"/>
              </w:rPr>
            </w:pPr>
          </w:p>
        </w:tc>
        <w:tc>
          <w:tcPr>
            <w:tcW w:w="1607" w:type="dxa"/>
            <w:vMerge w:val="continue"/>
            <w:tcBorders>
              <w:left w:val="single" w:color="auto" w:sz="4" w:space="0"/>
              <w:right w:val="single" w:color="auto" w:sz="4" w:space="0"/>
            </w:tcBorders>
            <w:vAlign w:val="center"/>
          </w:tcPr>
          <w:p>
            <w:pPr>
              <w:pStyle w:val="25"/>
              <w:spacing w:line="240" w:lineRule="auto"/>
              <w:ind w:firstLine="0" w:firstLineChars="0"/>
              <w:jc w:val="left"/>
              <w:rPr>
                <w:rFonts w:ascii="宋体" w:eastAsia="宋体" w:cs="宋体"/>
                <w:color w:val="auto"/>
                <w:sz w:val="21"/>
                <w:szCs w:val="21"/>
                <w:highlight w:val="none"/>
              </w:rPr>
            </w:pPr>
          </w:p>
        </w:tc>
        <w:tc>
          <w:tcPr>
            <w:tcW w:w="762" w:type="dxa"/>
            <w:vMerge w:val="continue"/>
            <w:tcBorders>
              <w:left w:val="single" w:color="auto" w:sz="4" w:space="0"/>
              <w:right w:val="single" w:color="auto" w:sz="4" w:space="0"/>
            </w:tcBorders>
            <w:vAlign w:val="center"/>
          </w:tcPr>
          <w:p>
            <w:pPr>
              <w:pStyle w:val="25"/>
              <w:spacing w:line="240" w:lineRule="auto"/>
              <w:ind w:firstLine="0" w:firstLineChars="0"/>
              <w:jc w:val="left"/>
              <w:rPr>
                <w:rFonts w:ascii="宋体" w:eastAsia="宋体" w:cs="宋体"/>
                <w:color w:val="auto"/>
                <w:sz w:val="21"/>
                <w:szCs w:val="21"/>
                <w:highlight w:val="none"/>
              </w:rPr>
            </w:pPr>
          </w:p>
        </w:tc>
        <w:tc>
          <w:tcPr>
            <w:tcW w:w="5463"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rPr>
                <w:rFonts w:ascii="宋体" w:cs="宋体"/>
                <w:bCs/>
                <w:color w:val="auto"/>
                <w:sz w:val="21"/>
                <w:szCs w:val="21"/>
                <w:highlight w:val="none"/>
              </w:rPr>
            </w:pPr>
            <w:r>
              <w:rPr>
                <w:rFonts w:hint="eastAsia" w:ascii="宋体" w:hAnsi="宋体"/>
                <w:color w:val="auto"/>
                <w:sz w:val="21"/>
                <w:szCs w:val="21"/>
                <w:highlight w:val="none"/>
              </w:rPr>
              <w:t>2、投标人提供有效的质量管理体系认证证书的，得</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分。（提供相关证书复印件加盖投标人公章，以上证书需由国家认证认可监督管理部门批准设立的认证机构颁发并在有效期内)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690" w:type="dxa"/>
            <w:vMerge w:val="continue"/>
            <w:tcBorders>
              <w:left w:val="single" w:color="auto" w:sz="4" w:space="0"/>
              <w:bottom w:val="single" w:color="auto" w:sz="4" w:space="0"/>
              <w:right w:val="single" w:color="auto" w:sz="4" w:space="0"/>
            </w:tcBorders>
            <w:vAlign w:val="center"/>
          </w:tcPr>
          <w:p>
            <w:pPr>
              <w:pStyle w:val="25"/>
              <w:spacing w:line="340" w:lineRule="exact"/>
              <w:ind w:firstLine="0" w:firstLineChars="0"/>
              <w:jc w:val="left"/>
              <w:rPr>
                <w:color w:val="auto"/>
                <w:highlight w:val="none"/>
              </w:rPr>
            </w:pPr>
          </w:p>
        </w:tc>
        <w:tc>
          <w:tcPr>
            <w:tcW w:w="1607" w:type="dxa"/>
            <w:vMerge w:val="continue"/>
            <w:tcBorders>
              <w:left w:val="single" w:color="auto" w:sz="4" w:space="0"/>
              <w:bottom w:val="single" w:color="auto" w:sz="4" w:space="0"/>
              <w:right w:val="single" w:color="auto" w:sz="4" w:space="0"/>
            </w:tcBorders>
            <w:vAlign w:val="center"/>
          </w:tcPr>
          <w:p>
            <w:pPr>
              <w:pStyle w:val="25"/>
              <w:spacing w:line="240" w:lineRule="auto"/>
              <w:ind w:firstLine="0" w:firstLineChars="0"/>
              <w:jc w:val="left"/>
              <w:rPr>
                <w:rFonts w:ascii="宋体" w:eastAsia="宋体" w:cs="宋体"/>
                <w:color w:val="auto"/>
                <w:sz w:val="21"/>
                <w:szCs w:val="21"/>
                <w:highlight w:val="none"/>
              </w:rPr>
            </w:pPr>
          </w:p>
        </w:tc>
        <w:tc>
          <w:tcPr>
            <w:tcW w:w="762" w:type="dxa"/>
            <w:vMerge w:val="continue"/>
            <w:tcBorders>
              <w:left w:val="single" w:color="auto" w:sz="4" w:space="0"/>
              <w:bottom w:val="single" w:color="auto" w:sz="4" w:space="0"/>
              <w:right w:val="single" w:color="auto" w:sz="4" w:space="0"/>
            </w:tcBorders>
            <w:vAlign w:val="center"/>
          </w:tcPr>
          <w:p>
            <w:pPr>
              <w:pStyle w:val="25"/>
              <w:spacing w:line="240" w:lineRule="auto"/>
              <w:ind w:firstLine="0" w:firstLineChars="0"/>
              <w:jc w:val="left"/>
              <w:rPr>
                <w:rFonts w:ascii="宋体" w:eastAsia="宋体" w:cs="宋体"/>
                <w:color w:val="auto"/>
                <w:sz w:val="21"/>
                <w:szCs w:val="21"/>
                <w:highlight w:val="none"/>
              </w:rPr>
            </w:pPr>
          </w:p>
        </w:tc>
        <w:tc>
          <w:tcPr>
            <w:tcW w:w="5463"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投标人具有信息系统集成及服务资质三级或以上的得</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（提供相关资质证书）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rPr>
                <w:rFonts w:ascii="宋体" w:hAnsi="宋体" w:cs="宋体"/>
                <w:bCs/>
                <w:color w:val="auto"/>
                <w:sz w:val="21"/>
                <w:szCs w:val="21"/>
                <w:highlight w:val="none"/>
              </w:rPr>
            </w:pPr>
            <w:r>
              <w:rPr>
                <w:rFonts w:hint="eastAsia" w:ascii="宋体" w:hAnsi="宋体" w:cs="宋体"/>
                <w:color w:val="auto"/>
                <w:sz w:val="21"/>
                <w:szCs w:val="21"/>
                <w:highlight w:val="none"/>
              </w:rPr>
              <w:t>根据投标人201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年的财务状况进行评价：连续三年盈利的得5分；连续两年盈利的得3分； 只有一年盈利的得1分。（以提供经会计师事务所审计的财务报表复印件并加盖投标人公章为准）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607"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同类业绩</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pStyle w:val="40"/>
              <w:spacing w:line="24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2014年至今，投标人签定的数字集群对讲机或信息化项目业绩</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，每个业绩得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r>
              <w:rPr>
                <w:rFonts w:hint="eastAsia" w:ascii="宋体" w:hAnsi="宋体" w:cs="宋体"/>
                <w:bCs/>
                <w:color w:val="auto"/>
                <w:sz w:val="21"/>
                <w:szCs w:val="21"/>
                <w:highlight w:val="none"/>
              </w:rPr>
              <w:t>以合同签订日期为准，</w:t>
            </w:r>
            <w:r>
              <w:rPr>
                <w:rFonts w:hint="eastAsia" w:ascii="宋体" w:hAnsi="宋体" w:cs="宋体"/>
                <w:color w:val="auto"/>
                <w:sz w:val="21"/>
                <w:szCs w:val="21"/>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5</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服务便利性</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tcPr>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（1）投标人承诺在接到采购人通知后0.5小时内到现场，得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（2）投标人承诺在接到采购人通知后1.5小时内到现场，得2分；</w:t>
            </w:r>
          </w:p>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（3）投标人承诺在接到采购人通知后3小时内到现场，得1分；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注：投标人需提供服务承诺书，并加盖投标人公章。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技术评分（50分）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产品技术要求</w:t>
            </w:r>
          </w:p>
        </w:tc>
        <w:tc>
          <w:tcPr>
            <w:tcW w:w="762" w:type="dxa"/>
            <w:tcBorders>
              <w:top w:val="single" w:color="auto" w:sz="4" w:space="0"/>
              <w:left w:val="single" w:color="auto" w:sz="4" w:space="0"/>
              <w:bottom w:val="single" w:color="auto" w:sz="4" w:space="0"/>
              <w:right w:val="single" w:color="auto" w:sz="4" w:space="0"/>
            </w:tcBorders>
            <w:vAlign w:val="center"/>
          </w:tcPr>
          <w:p>
            <w:pPr>
              <w:pStyle w:val="25"/>
              <w:spacing w:line="24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24</w:t>
            </w:r>
            <w:r>
              <w:rPr>
                <w:rFonts w:hint="eastAsia" w:ascii="宋体" w:eastAsia="宋体" w:cs="宋体"/>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本项目要求对用户需求书中“总体技术要求”中所有参数作出全面响应：带“▲”为重要技术指标，全部满足或优于得2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分，每负偏离一项扣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分，本项扣至0分为止。</w:t>
            </w:r>
          </w:p>
          <w:p>
            <w:pPr>
              <w:spacing w:after="0"/>
              <w:rPr>
                <w:rFonts w:asci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shd w:val="clear" w:color="auto" w:fill="FFFFFF"/>
              </w:rPr>
              <w:t>（按照招标要求对每项带▲参数指标进行逐条响应，须在投标文件中提供所要求的产品相关证明资料并加盖投标人公章或按用户需求书的技术要求提供样机。）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5</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对本项目的理解和分析</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根据投标人所提供的项目背景、网络现状、需求分析方案进行对比评分。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优：方案描述详尽合理，理解分析到位，得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良：方案相对合理，描述一般，得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中：方案一般，描述不详细，得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spacing w:after="0"/>
              <w:rPr>
                <w:rFonts w:ascii="宋体" w:eastAsia="宋体" w:cs="宋体"/>
                <w:color w:val="auto"/>
                <w:sz w:val="21"/>
                <w:szCs w:val="21"/>
                <w:highlight w:val="none"/>
                <w:lang w:val="zh-CN"/>
              </w:rPr>
            </w:pPr>
            <w:r>
              <w:rPr>
                <w:rFonts w:hint="eastAsia" w:ascii="宋体" w:hAnsi="宋体" w:eastAsia="宋体" w:cs="宋体"/>
                <w:color w:val="auto"/>
                <w:sz w:val="21"/>
                <w:szCs w:val="21"/>
                <w:highlight w:val="none"/>
              </w:rPr>
              <w:t>差：没有提供方案的得0分。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6</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根据投标人所提供的项目组织实施方案进行对比评分。优：方案描述详尽合理，具有较强的可操作性，得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良：方案相对合理，描述一般，具有基本可操作性，得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中：方案一般，描述不详细，可操作性差，得</w:t>
            </w:r>
            <w:r>
              <w:rPr>
                <w:rFonts w:hint="eastAsia" w:ascii="宋体" w:hAnsi="宋体" w:eastAsia="宋体" w:cs="宋体"/>
                <w:color w:val="auto"/>
                <w:sz w:val="21"/>
                <w:szCs w:val="21"/>
                <w:highlight w:val="none"/>
                <w:lang w:val="en-US" w:eastAsia="zh-CN"/>
              </w:rPr>
              <w:t>2</w:t>
            </w:r>
            <w:bookmarkStart w:id="191" w:name="_GoBack"/>
            <w:bookmarkEnd w:id="191"/>
            <w:r>
              <w:rPr>
                <w:rFonts w:hint="eastAsia" w:ascii="宋体" w:hAnsi="宋体" w:eastAsia="宋体" w:cs="宋体"/>
                <w:color w:val="auto"/>
                <w:sz w:val="21"/>
                <w:szCs w:val="21"/>
                <w:highlight w:val="none"/>
              </w:rPr>
              <w:t>分。</w:t>
            </w:r>
          </w:p>
          <w:p>
            <w:pPr>
              <w:spacing w:after="0"/>
              <w:rPr>
                <w:rFonts w:ascii="宋体" w:eastAsia="宋体" w:cs="宋体"/>
                <w:color w:val="auto"/>
                <w:sz w:val="21"/>
                <w:szCs w:val="21"/>
                <w:highlight w:val="none"/>
                <w:lang w:val="zh-CN"/>
              </w:rPr>
            </w:pPr>
            <w:r>
              <w:rPr>
                <w:rFonts w:hint="eastAsia" w:ascii="宋体" w:hAnsi="宋体" w:eastAsia="宋体" w:cs="宋体"/>
                <w:color w:val="auto"/>
                <w:sz w:val="21"/>
                <w:szCs w:val="21"/>
                <w:highlight w:val="none"/>
              </w:rPr>
              <w:t>差：没有提供方案的得0分。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7</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与既有系统兼容性</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8分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投标人提供的终端设备能够与东莞市公安局PDT数字集群系统以及单频自组网(应急网）进行语音数据对接，实现真正的互通、互联、无缝联通，根据详细兼容性方案，横向比较打分。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优：完全满足上述要求，兼容性方案科学完整，可操作性强，得8分。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良：基本满足上述要求，兼容性方案一般，可操作性一般，得5分。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中：不完全满足上述要求，兼容性方案简单，可操作性差，得2分。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差：无提供兼容性方案，得0分。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8</w:t>
            </w:r>
          </w:p>
        </w:tc>
        <w:tc>
          <w:tcPr>
            <w:tcW w:w="1607"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与既有可视化指挥平台对接的兼容性</w:t>
            </w:r>
          </w:p>
        </w:tc>
        <w:tc>
          <w:tcPr>
            <w:tcW w:w="76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6分</w:t>
            </w:r>
          </w:p>
        </w:tc>
        <w:tc>
          <w:tcPr>
            <w:tcW w:w="5463" w:type="dxa"/>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投标人提供的终端设备能够与市局既有可视化指挥平台实现定位、短信、监听、插话、强拆、点击呼叫、动态重组、目标锁定、轨迹回放等功能，根据详细兼容性方案，横向比较打分。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优：完全满足上述要求，兼容性方案科学完整，可操作性强，得6分。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良：基本满足上述要求，兼容性方案一般，可操作性一般，得4分。</w:t>
            </w:r>
          </w:p>
          <w:p>
            <w:pPr>
              <w:spacing w:after="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中：不完全满足上述要求，兼容性方案简单，可操作性星差，得2分。</w:t>
            </w:r>
          </w:p>
          <w:p>
            <w:pPr>
              <w:spacing w:after="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差：无提供兼容性方案，得0分。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注：</w:t>
            </w:r>
          </w:p>
          <w:p>
            <w:pPr>
              <w:pStyle w:val="22"/>
              <w:widowControl w:val="0"/>
              <w:tabs>
                <w:tab w:val="left" w:pos="907"/>
              </w:tabs>
              <w:adjustRightInd/>
              <w:snapToGrid/>
              <w:spacing w:after="0" w:line="360" w:lineRule="exact"/>
              <w:ind w:firstLine="0" w:firstLineChars="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（1）上证明文件均提供加盖公章复印件。（原件备查）</w:t>
            </w:r>
          </w:p>
          <w:p>
            <w:pPr>
              <w:pStyle w:val="22"/>
              <w:widowControl w:val="0"/>
              <w:tabs>
                <w:tab w:val="left" w:pos="907"/>
              </w:tabs>
              <w:adjustRightInd/>
              <w:snapToGrid/>
              <w:spacing w:after="0" w:line="360" w:lineRule="exact"/>
              <w:ind w:firstLine="0" w:firstLineChars="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若开标当日评标委员会需要查看以上证明文件原件，投标人请在接到通知后一个小时内携带原件到达评标会场，接受核查，如因迟到或是其他原因不能携原件到达现场接受检查，其造成的所有后果投标人自行承担。（属于建办市函[2016]462号通知内的证件可不提供原件，仅提供带二维码原件的复印件即可。）</w:t>
            </w:r>
          </w:p>
          <w:p>
            <w:pPr>
              <w:pStyle w:val="22"/>
              <w:widowControl w:val="0"/>
              <w:tabs>
                <w:tab w:val="left" w:pos="907"/>
              </w:tabs>
              <w:adjustRightInd/>
              <w:snapToGrid/>
              <w:spacing w:after="0" w:line="360" w:lineRule="exact"/>
              <w:ind w:firstLine="0" w:firstLineChars="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（3）若中标将在发放中标通知书前逐一核对核查原件，请勿提供虚假、过期材料，否则将依据相关规定严肃处理。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lang w:val="zh-CN"/>
              </w:rPr>
            </w:pPr>
            <w:r>
              <w:rPr>
                <w:rFonts w:hint="eastAsia" w:ascii="宋体" w:eastAsia="宋体" w:cs="宋体"/>
                <w:color w:val="auto"/>
                <w:sz w:val="21"/>
                <w:szCs w:val="21"/>
                <w:highlight w:val="none"/>
              </w:rPr>
              <w:t>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25"/>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9</w:t>
            </w:r>
          </w:p>
        </w:tc>
        <w:tc>
          <w:tcPr>
            <w:tcW w:w="7832" w:type="dxa"/>
            <w:gridSpan w:val="3"/>
            <w:tcBorders>
              <w:top w:val="single" w:color="auto" w:sz="4" w:space="0"/>
              <w:left w:val="single" w:color="auto" w:sz="4" w:space="0"/>
              <w:bottom w:val="single" w:color="auto" w:sz="4" w:space="0"/>
              <w:right w:val="single" w:color="auto" w:sz="4" w:space="0"/>
            </w:tcBorders>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价格分计算方法：满足招标文件要求且投标价格最低的投标报价为评标基准价，其价格分为满分。其他投标人的价格分统一按照下列公式计算：</w:t>
            </w: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投标报价得分=(评标基准价／投标报价)×价格权值×100</w:t>
            </w:r>
          </w:p>
        </w:tc>
      </w:tr>
    </w:tbl>
    <w:p>
      <w:pPr>
        <w:keepNext w:val="0"/>
        <w:keepLines w:val="0"/>
        <w:pageBreakBefore w:val="0"/>
        <w:widowControl w:val="0"/>
        <w:tabs>
          <w:tab w:val="left" w:pos="907"/>
        </w:tabs>
        <w:kinsoku/>
        <w:wordWrap/>
        <w:overflowPunct/>
        <w:topLinePunct w:val="0"/>
        <w:autoSpaceDE/>
        <w:autoSpaceDN/>
        <w:bidi w:val="0"/>
        <w:adjustRightInd/>
        <w:snapToGrid/>
        <w:spacing w:after="0" w:line="240" w:lineRule="auto"/>
        <w:jc w:val="both"/>
        <w:textAlignment w:val="auto"/>
        <w:outlineLvl w:val="9"/>
        <w:rPr>
          <w:rFonts w:hint="eastAsia" w:asciiTheme="minorEastAsia" w:hAnsiTheme="minorEastAsia" w:eastAsiaTheme="minorEastAsia" w:cstheme="minorEastAsia"/>
          <w:b/>
          <w:color w:val="auto"/>
          <w:sz w:val="21"/>
          <w:szCs w:val="21"/>
        </w:rPr>
      </w:pPr>
    </w:p>
    <w:p>
      <w:pPr>
        <w:keepNext w:val="0"/>
        <w:keepLines w:val="0"/>
        <w:pageBreakBefore w:val="0"/>
        <w:widowControl w:val="0"/>
        <w:tabs>
          <w:tab w:val="left" w:pos="907"/>
        </w:tabs>
        <w:kinsoku/>
        <w:wordWrap/>
        <w:overflowPunct/>
        <w:topLinePunct w:val="0"/>
        <w:autoSpaceDE/>
        <w:autoSpaceDN/>
        <w:bidi w:val="0"/>
        <w:adjustRightInd/>
        <w:snapToGrid/>
        <w:spacing w:after="0" w:line="240" w:lineRule="auto"/>
        <w:jc w:val="both"/>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w:t>
      </w:r>
    </w:p>
    <w:p>
      <w:pPr>
        <w:pStyle w:val="22"/>
        <w:keepNext w:val="0"/>
        <w:keepLines w:val="0"/>
        <w:pageBreakBefore w:val="0"/>
        <w:widowControl w:val="0"/>
        <w:numPr>
          <w:ilvl w:val="0"/>
          <w:numId w:val="0"/>
        </w:numPr>
        <w:tabs>
          <w:tab w:val="left" w:pos="907"/>
        </w:tabs>
        <w:kinsoku/>
        <w:wordWrap/>
        <w:overflowPunct/>
        <w:topLinePunct w:val="0"/>
        <w:autoSpaceDE/>
        <w:autoSpaceDN/>
        <w:bidi w:val="0"/>
        <w:adjustRightInd/>
        <w:snapToGrid/>
        <w:spacing w:after="0" w:line="240" w:lineRule="auto"/>
        <w:ind w:leftChars="0"/>
        <w:jc w:val="both"/>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上证明文件均提供加盖公章复印件。（原件备查）</w:t>
      </w:r>
    </w:p>
    <w:p>
      <w:pPr>
        <w:pStyle w:val="22"/>
        <w:keepNext w:val="0"/>
        <w:keepLines w:val="0"/>
        <w:pageBreakBefore w:val="0"/>
        <w:widowControl w:val="0"/>
        <w:numPr>
          <w:ilvl w:val="0"/>
          <w:numId w:val="0"/>
        </w:numPr>
        <w:tabs>
          <w:tab w:val="left" w:pos="907"/>
        </w:tabs>
        <w:kinsoku/>
        <w:wordWrap/>
        <w:overflowPunct/>
        <w:topLinePunct w:val="0"/>
        <w:autoSpaceDE/>
        <w:autoSpaceDN/>
        <w:bidi w:val="0"/>
        <w:adjustRightInd/>
        <w:snapToGrid/>
        <w:spacing w:after="0" w:line="240" w:lineRule="auto"/>
        <w:ind w:leftChars="0"/>
        <w:jc w:val="both"/>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若开标当日评标委员会需要查看以上证明文件原件，投标人请在接到通知后一个小时内携带原件到达评标会场，接受核查，如因迟到或是其他原因不能携原件到达现场接受检查，其造成的所有后果投标人自行承担。（属于建办市函[2016]462号通知内的证件可不提供原件，仅提供带二维码原件的复印件即可。）</w:t>
      </w:r>
    </w:p>
    <w:p>
      <w:pPr>
        <w:ind w:firstLine="316" w:firstLineChars="150"/>
        <w:jc w:val="left"/>
        <w:rPr>
          <w:rFonts w:ascii="宋体" w:hAnsi="宋体" w:eastAsia="宋体"/>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若中标将在发放中标通知书前逐一核对核查原件，请勿提供虚假、过期材料，否则将依据相关规定严肃处理。</w:t>
      </w:r>
    </w:p>
    <w:p>
      <w:pPr>
        <w:pStyle w:val="2"/>
        <w:jc w:val="center"/>
        <w:rPr>
          <w:rFonts w:hint="eastAsia"/>
          <w:color w:val="auto"/>
          <w:sz w:val="52"/>
          <w:szCs w:val="52"/>
        </w:rPr>
      </w:pPr>
      <w:r>
        <w:rPr>
          <w:rFonts w:hint="eastAsia"/>
          <w:color w:val="auto"/>
          <w:sz w:val="52"/>
          <w:szCs w:val="52"/>
        </w:rPr>
        <w:br w:type="page"/>
      </w: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rFonts w:hint="eastAsia"/>
          <w:color w:val="auto"/>
          <w:sz w:val="52"/>
          <w:szCs w:val="52"/>
        </w:rPr>
      </w:pPr>
    </w:p>
    <w:p>
      <w:pPr>
        <w:pStyle w:val="2"/>
        <w:jc w:val="both"/>
        <w:rPr>
          <w:rFonts w:hint="eastAsia"/>
          <w:color w:val="auto"/>
          <w:sz w:val="52"/>
          <w:szCs w:val="52"/>
        </w:rPr>
      </w:pPr>
    </w:p>
    <w:p>
      <w:pPr>
        <w:pStyle w:val="2"/>
        <w:jc w:val="center"/>
        <w:rPr>
          <w:color w:val="auto"/>
          <w:sz w:val="52"/>
          <w:szCs w:val="52"/>
        </w:rPr>
      </w:pPr>
      <w:bookmarkStart w:id="3" w:name="_Toc31486"/>
      <w:r>
        <w:rPr>
          <w:rFonts w:hint="eastAsia"/>
          <w:color w:val="auto"/>
          <w:sz w:val="52"/>
          <w:szCs w:val="52"/>
        </w:rPr>
        <w:t>第三部分 用户需求书</w:t>
      </w:r>
      <w:bookmarkEnd w:id="3"/>
    </w:p>
    <w:p>
      <w:pPr>
        <w:adjustRightInd/>
        <w:snapToGrid/>
        <w:spacing w:line="276" w:lineRule="auto"/>
        <w:rPr>
          <w:color w:val="auto"/>
        </w:rPr>
      </w:pPr>
      <w:r>
        <w:rPr>
          <w:color w:val="auto"/>
        </w:rPr>
        <w:br w:type="page"/>
      </w:r>
    </w:p>
    <w:p>
      <w:pPr>
        <w:jc w:val="center"/>
        <w:rPr>
          <w:rFonts w:ascii="宋体" w:hAnsi="宋体" w:eastAsia="宋体"/>
          <w:b/>
          <w:color w:val="auto"/>
          <w:sz w:val="32"/>
        </w:rPr>
      </w:pPr>
      <w:r>
        <w:rPr>
          <w:rFonts w:hint="eastAsia" w:ascii="宋体" w:hAnsi="宋体" w:eastAsia="宋体"/>
          <w:b/>
          <w:color w:val="auto"/>
          <w:sz w:val="32"/>
        </w:rPr>
        <w:t>用户需求</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一、概况</w:t>
      </w:r>
    </w:p>
    <w:p>
      <w:pPr>
        <w:keepNext w:val="0"/>
        <w:keepLines w:val="0"/>
        <w:pageBreakBefore w:val="0"/>
        <w:widowControl/>
        <w:kinsoku/>
        <w:wordWrap/>
        <w:overflowPunct/>
        <w:topLinePunct w:val="0"/>
        <w:autoSpaceDE/>
        <w:autoSpaceDN/>
        <w:bidi w:val="0"/>
        <w:adjustRightInd w:val="0"/>
        <w:snapToGrid w:val="0"/>
        <w:spacing w:line="240" w:lineRule="auto"/>
        <w:ind w:firstLine="316" w:firstLineChars="15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PDT数字网络建设情况</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为保障公安指挥通信的信息安全，公安部组织制定了新一代公安数字无线通信标准-警用数字集群(PDT)通信系统标准，标准采用国产密码算法加密，能够满足公安保密通信要求，具有知识产权，核心技术为我所掌握，做到可控可管。</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根据公安部下达的《&lt;全国公安装备建设“十二五”规划&gt;重点项目建议任务书》，要求各级公安机关以警用数字集群(PDT)标准为技术体制建设350兆数字集群通信系统。</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目前，东莞市公安局350兆PDT数字集群通信系统已建2个交换中心（市局和常平）、100套PDT基站（含直放站），38套数字同播基站、13套应急自组网基站，配备1000套手持台和50套车载台；同时，本系统提供与情报及指挥信息应用系统相关网络的二次开发接口，通过对接开发可实现与现有110指挥调度系统、PGIS警用地理信息系统等的融合对接，实现在警务信息平台上对警员的在线管理、扁平化、可视化指挥调度应用。</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PDT系统是东莞市公安局日常勤务指挥调度系统，建成后将实现全市有效无线覆盖。其中PDT基站和数字同播基站主要应用于市局、各分局日常指挥调度通信；具备频谱利用率高、抗干扰能力强、通话安全性高、语音质量更好、调度业务多样等特点；应急自组网基站主要应用于处置突发事件、反恐抗灾、警卫任务的全市应急联动通信；具备建网速度快、移动组网自动化、覆盖强度大以及强悍的抗灾、抗毁能力。</w:t>
      </w:r>
    </w:p>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b/>
          <w:bCs/>
          <w:color w:val="auto"/>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二、需求及技术要求:</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采购设备清单</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2866"/>
        <w:gridCol w:w="811"/>
        <w:gridCol w:w="1008"/>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(一)PDT手持台（含数字移动电台控制软件）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数字手持台</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一充一电，相应配件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电池</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不小于2550mAh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耳机</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空气导管有线耳机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肩咪</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集成技术服务费</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bCs/>
                <w:color w:val="auto"/>
                <w:sz w:val="21"/>
                <w:szCs w:val="21"/>
              </w:rPr>
            </w:pPr>
            <w:r>
              <w:rPr>
                <w:rFonts w:hint="eastAsia" w:ascii="宋体" w:hAnsi="宋体" w:eastAsia="宋体" w:cs="宋体"/>
                <w:color w:val="auto"/>
                <w:sz w:val="21"/>
                <w:szCs w:val="21"/>
              </w:rPr>
              <w:t>含软件安装、调试、平台接入、维保费等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(二)PDT基地台（含数字基地电台控制软件）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896" w:firstLineChars="427"/>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数字基地台</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套</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含吸盘天线、外置电源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2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840" w:firstLineChars="4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集成技术服务费</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30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含软件安装、调试、平台接入、维保费等</w:t>
            </w:r>
          </w:p>
        </w:tc>
      </w:tr>
    </w:tbl>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三、采购设备技术要求:</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3.1总体技术要求</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为达到符合公安部PDT数字集群标准，且能顺利入网PDT标准系统进行匹配应用，投标人所投终端设备厂家必须为PDT联盟成员，投标人须提供由2017年度以来由PDT联盟（北京华通专业数字集群标准创新联盟）颁发的理事会员单位或会员单位证书复印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▲（2）根据《关于规范东莞市公安局350兆无线数字集群终端采购工作的通知》文件要求，投标人所投手持台外观及开机显示须统一为“东莞公安”标识，不得有品牌自身标识，要求投标时提供样机。</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▲（3）投标人所投手持台和车载台(或基地台)设备须获得国家工业和信息化部颁发的无线电发射设备型号核准证,提供证书复印件并加盖投标人公章。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▲（4）投标人所投手持台和车载台(或基地台)设备须具备公安部安全与警用电子产品质量检测中心颁发的检验报告，提供检验报告复印件并加盖投标人公章。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投标人所投手持台设备支持数模双制式，满足模拟MPT-1327和数字PDT系统对技术指标要求，支持数字集群、模拟集群、数字常规、模拟常规、单频自组网（应急网）等多种工作模式。（须提供以上所投产品设备的彩页，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投标人所投车载台(或基地台)设备支持数模双制式，满足模拟MPT-1327和数字PDT系统对技术指标要求，支持数字集群、模拟集群、数字常规、模拟常规、单频自组网（应急网）等多种工作模式，可通过无线链路自动组建应急快速部署通信网。（须提供以上所投产品设备的彩页，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为保证以后系统及终端整体运转的稳定性和后期维护、故障排除等全方位管理的一致性，投标人所投终端设备要求与东莞市公安局PDT数字集群系统保持统一技术。投标人须承诺所投设备须能顺利与东莞市公安局PDT数字集群系统进行语音、数据对接，实现真正的互联互通、无缝联通，提供承诺函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★（8）根据《关于规范东莞市公安局350兆无线数字集群终端采购工作的通知》文件要求, 投标人必须承诺确保所投终端设备无条件免费开放私有协议，并能依照市局二次开发需求进行底层软件修改，能在市局可视化指挥平台上实现定位、短信、监听、插话、强拆、点击呼叫、动态重组、目标锁定、轨迹回放等功能，如中标后所投产品与以上承诺不符的视为虚假应标，并报市政府采购监管部门进行处理，而且会导致项目中整批货物被拒收和索赔，由此引发的所有损失由中标人负责（提供承诺函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▲（9）投标人所投手持台、车载台（或基地台）设备须顺利与市局既有单频自组网（应急网）实现无线互联互通，保持350兆单频点无线数字链路自动联网方式，组建应急快速部署网络，要求投标时提供样机。</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▲（10）投标人所投终端设备的制造商具有单频点无线链路自组网技术的组网应用成功案例，并要求提供加盖用户公章的用户使用报告证明材料复印件并加盖投标人公章。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为了保证整体解决方案和设备间的最大兼容性和统一的售后服务，同时为了保证系统的稳定性和易维护性，本次系统建设所用主要产品，包括：数字手持台、车载台(或基地台)须为统一品牌，以投标文件中投标货物的详细情况表的内容为准。</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3.2数字手持台指标</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37"/>
        <w:gridCol w:w="1140"/>
        <w:gridCol w:w="2313"/>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测试项目</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电池（须提供所投产品设备样机及原厂商彩页，并加盖投标人公章）</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额定容量≥2550mAh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重量</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外形尺寸（须提供所投产品设备样机及原厂商彩页，并加盖投标人公章）</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≤125×55×35mm（不含天线及配件）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发射机频率范围</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350.8-361.2MHz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最大输出功率</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4FSK调制频偏误差</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4FSK发射误码率</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占用带宽</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≤7.2kHz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频率误差</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≤0.23×10-7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发射上升时间</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≤0.9ms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发射下降时间</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≤0.73ms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577"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邻道功率比</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±12.5kHz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2577"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±25.0kHz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≤-79dB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43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发射机杂散发射</w:t>
            </w:r>
          </w:p>
        </w:tc>
        <w:tc>
          <w:tcPr>
            <w:tcW w:w="11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天线端口</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9kHz～1GHz（含）</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≤-39dBm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≤-34.8dBm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机箱端口</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30MHz～1GHz（含）</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≤-40.0dBm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577"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瞬态切换</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邻道功率</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±12.5kHz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≤-55.8dB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2577"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±25.0kHz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≤-79.7dB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接收频率范围</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357.8-366.2MHz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静态灵敏度</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高电平信号输入状态下</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接收机误码率</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互调响应抗扰度</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阻塞</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杂散响应抗干扰</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共信道抑制</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4890"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邻道选择性</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≥64dB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43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接收机杂散发射</w:t>
            </w:r>
          </w:p>
        </w:tc>
        <w:tc>
          <w:tcPr>
            <w:tcW w:w="11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天线端口</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9kHz～1GHz（含）</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≤-65.3dBm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≤-55.0dBm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机箱端口</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30MHz～1GHz（含）</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≤-61.0dBm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4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114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281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≤-51.0dBm</w:t>
            </w:r>
          </w:p>
        </w:tc>
      </w:tr>
    </w:tbl>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bookmarkStart w:id="4" w:name="_Toc415754759"/>
      <w:r>
        <w:rPr>
          <w:rFonts w:hint="eastAsia" w:ascii="宋体" w:hAnsi="宋体" w:eastAsia="宋体" w:cs="宋体"/>
          <w:color w:val="auto"/>
          <w:sz w:val="21"/>
          <w:szCs w:val="21"/>
        </w:rPr>
        <w:t>3.3数字基地台指标</w:t>
      </w:r>
      <w:bookmarkEnd w:id="4"/>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21"/>
        <w:gridCol w:w="669"/>
        <w:gridCol w:w="134"/>
        <w:gridCol w:w="2144"/>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测试项目</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重量</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≤1.8kg(不含天线、含麦克风)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外形尺寸（须提供所投产品设备样机及原厂商彩页，并加盖投标人公章）</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≤55×160×200mm（不含天线及配件）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发射机频率范围</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350.8-361.2MHz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最大输出功率</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4FSK调制频偏误差</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4FSK发射误码率</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占用带宽</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频率误差</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发射上升时间</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发射下降时间</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92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邻道功率比</w:t>
            </w:r>
          </w:p>
        </w:tc>
        <w:tc>
          <w:tcPr>
            <w:tcW w:w="294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±12.5kHz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≤-67.1dB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94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±25.0kHz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≤-81.8dB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92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发射机杂散发射</w:t>
            </w:r>
          </w:p>
        </w:tc>
        <w:tc>
          <w:tcPr>
            <w:tcW w:w="803"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天线端口</w:t>
            </w: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9kHz～1GHz（含）</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≤-37dBm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803"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803" w:type="dxa"/>
            <w:gridSpan w:val="2"/>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机箱端口</w:t>
            </w: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30MHz～1GHz（含）</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≤-39dBm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803"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724"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瞬态切换</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邻道功率</w:t>
            </w: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±12.5kHz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≤-64.5dB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jc w:val="center"/>
              <w:textAlignment w:val="auto"/>
              <w:outlineLvl w:val="9"/>
              <w:rPr>
                <w:rFonts w:hint="eastAsia" w:ascii="宋体" w:hAnsi="宋体" w:eastAsia="宋体" w:cs="宋体"/>
                <w:color w:val="auto"/>
                <w:sz w:val="21"/>
                <w:szCs w:val="21"/>
              </w:rPr>
            </w:pPr>
          </w:p>
        </w:tc>
        <w:tc>
          <w:tcPr>
            <w:tcW w:w="1724"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1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±25.0kHz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接收频率范围</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357.8-366.2MHz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静态灵敏度</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≤-116dBm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高电平信号输入状态下接收机</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误码率</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互调响应抗扰度</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阻塞</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≥84dB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杂散响应抗干扰</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共信道抑制</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3868"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邻道选择性</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92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接收机杂散</w:t>
            </w:r>
          </w:p>
        </w:tc>
        <w:tc>
          <w:tcPr>
            <w:tcW w:w="6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天线端口</w:t>
            </w:r>
          </w:p>
        </w:tc>
        <w:tc>
          <w:tcPr>
            <w:tcW w:w="227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9kHz～1GHz（含）</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≤-89dBm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66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27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≤-77dBm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6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机箱端口</w:t>
            </w:r>
          </w:p>
        </w:tc>
        <w:tc>
          <w:tcPr>
            <w:tcW w:w="227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30MHz～1GHz（含）</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92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66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tc>
        <w:tc>
          <w:tcPr>
            <w:tcW w:w="227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1GHz～12.75GHz</w:t>
            </w:r>
          </w:p>
        </w:tc>
        <w:tc>
          <w:tcPr>
            <w:tcW w:w="375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≤-50dBm</w:t>
            </w:r>
          </w:p>
        </w:tc>
      </w:tr>
    </w:tbl>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3.4终端功能</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登记、去登记、鉴权、漫游、语音单呼、语音组呼、组呼迟入、组呼并入、广播呼叫、紧急呼叫、通话限时、讲话方身份识别、状态消息、短消息、卫星定位（北斗/ GPS）、遥毙、遥晕、复活、动态重组</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▲四模工作模式：</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手持台、车载台(或基地台)须支持数字集群、模拟集群、数字常规、模拟常规等工作模式。（要求提供工信部检测机构出具的检测报告复印件加盖投标人公章）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▲通话中上传北斗定位信息</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所投手持台、车载台(或基地台)型号产品要求在项目所在地公安局现使用PDT数字集群系统（维德AK1000）下，能够实现在通话过程中上传北斗定位信息功能。（要求提供工信部检测机构出具的检测报告复印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四、其他要求</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人必须承诺：若中标，如采购人对技术响应情况存在疑问的，采购人有权要求中标人在采购结果公示之日起7个工作日内必须到采购人单位进行实际环境测试，测试费用中标人支付。测试内容为采购人对投标人所投产品有疑问的技术指标，测试范围为中标人响应的全部技术条款。测试工作由采购人组织，地点设在采购人指定地点，产品测试在采购人的业务应用环境中进行，同时邀请独立第三方及公证处进行监督（以上费用由中标人承担）。经测试，所投产品与投标文件不符的视为虚假应标，并报市政府采购监管部门进行处理，而且会导致项目中整批货物被拒收和索赔，由此引发的所有损失由中标人负责（提供承诺函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人必须承诺：若中标，采购人有权核实所投产品参数与功能情况（投标人需提供相应证明由采购人进行核实），如存在与投标文件响应存在差异或虚假响应的情况，采购人有权要求中标人按投标文件响应的情况进行重新供货，如未按期重新供货的，采购人有权拒签或取消合同，并上报市政府采购监管部门进行处理，而且会导致项目中整批货物被拒收和索赔，由此引发的所有损失由中标人负责。（提供承诺函并加盖投标人公章）</w:t>
      </w: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五、演示要求</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样机应与投标文件同一时间递交，样机提交时需贴标签，标签上写明投标人名称、样机名称、本项目名称及编号，加盖公章并由法定代表人或其授权代表签字。</w:t>
      </w:r>
    </w:p>
    <w:p>
      <w:pPr>
        <w:keepNext w:val="0"/>
        <w:keepLines w:val="0"/>
        <w:pageBreakBefore w:val="0"/>
        <w:widowControl/>
        <w:kinsoku/>
        <w:wordWrap/>
        <w:overflowPunct/>
        <w:topLinePunct w:val="0"/>
        <w:autoSpaceDE/>
        <w:autoSpaceDN/>
        <w:bidi w:val="0"/>
        <w:adjustRightInd w:val="0"/>
        <w:snapToGrid w:val="0"/>
        <w:spacing w:line="240" w:lineRule="auto"/>
        <w:ind w:firstLine="315" w:firstLineChars="150"/>
        <w:textAlignment w:val="auto"/>
        <w:outlineLvl w:val="9"/>
        <w:rPr>
          <w:rFonts w:ascii="宋体" w:hAnsi="宋体"/>
          <w:color w:val="auto"/>
          <w:sz w:val="24"/>
        </w:rPr>
      </w:pPr>
      <w:r>
        <w:rPr>
          <w:rFonts w:hint="eastAsia" w:ascii="宋体" w:hAnsi="宋体" w:eastAsia="宋体" w:cs="宋体"/>
          <w:color w:val="auto"/>
          <w:sz w:val="21"/>
          <w:szCs w:val="21"/>
        </w:rPr>
        <w:t>评审期间，投标人演示代表(投标演示时投标人的参加人数不超过3人，并必须包含法定代表人或其授权代表人)在指定地点等候,按照递交文件登记顺序，进入评审演示室，演示时间控制在15分钟内，超过15分钟应该停止演示。</w:t>
      </w:r>
    </w:p>
    <w:p>
      <w:pPr>
        <w:pStyle w:val="22"/>
        <w:numPr>
          <w:ilvl w:val="0"/>
          <w:numId w:val="0"/>
        </w:numPr>
        <w:ind w:leftChars="0"/>
        <w:rPr>
          <w:rFonts w:hint="eastAsia"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交货期</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合同签订后30天内完成全部供货。</w:t>
      </w:r>
    </w:p>
    <w:p>
      <w:pPr>
        <w:spacing w:after="0" w:line="360" w:lineRule="auto"/>
        <w:ind w:firstLine="420" w:firstLineChars="200"/>
        <w:rPr>
          <w:rFonts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★质保要求</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中标公告发布后三个工作日内提供原厂针对本项目的售后服务承诺函，否则取消其中标资格。免费质保期为两年时间。</w:t>
      </w:r>
    </w:p>
    <w:p>
      <w:pPr>
        <w:spacing w:after="0" w:line="360" w:lineRule="auto"/>
        <w:ind w:firstLine="420" w:firstLineChars="200"/>
        <w:rPr>
          <w:rFonts w:ascii="宋体" w:hAnsi="宋体" w:eastAsia="宋体" w:cs="宋体"/>
          <w:bCs/>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付款方式</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货物进场安装完毕并验收通过后，采购人向中标供应商支付合同金额的100％。</w:t>
      </w:r>
    </w:p>
    <w:p>
      <w:pPr>
        <w:pStyle w:val="22"/>
        <w:ind w:firstLine="482"/>
        <w:rPr>
          <w:rFonts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22" w:firstLineChars="150"/>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其他要求</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zh-CN"/>
        </w:rPr>
        <w:t>投标人应根据采购要求，在投标文件中提供切实可行的供货及售后服务方案。</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要求中产品技术参数为参考值，所投产品对应参数可上下浮动不超过10%。招标文件的技术规格中指出的工艺、材料和设备的标准以及参照的品牌或型号仅起说明作用，并没有任何限制性。参考图片来源于网络，仅供参考，投标人在投标中可以选用替代标准、品牌或型号，但这些替代要实质上满足或超过招标文件的要求。项目评审时，由评标委员会负责对投标人提供的替代标准、品牌或型号的响应性进行审查。</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单位应保证提供的货物在不需要增配未列出配件（特别指出的除外）的前提下货物功能、技术标准能够达到招标文件的要求，而无须再增配未列出的配件；如供应商所提供的产品需要增配配件才能达到要求的，所增配的配件须由供应商免费提供。</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4、所有产品材料及货物标准必须符合国家标准及相关规定。</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5、项目未尽事宜将在采购合同中另行约定，中标单位需无条件同意采购单位基于为顺利完成本项目所提出的各项合理要求。</w:t>
      </w:r>
    </w:p>
    <w:p>
      <w:pPr>
        <w:spacing w:after="0" w:line="360" w:lineRule="auto"/>
        <w:ind w:firstLine="420"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6、项目清单为本次采购最低要求，各供应商可以自行优化供货计划，为本项目设计最优投标方案。</w:t>
      </w:r>
    </w:p>
    <w:p>
      <w:pPr>
        <w:pStyle w:val="48"/>
        <w:spacing w:line="240" w:lineRule="auto"/>
        <w:ind w:firstLine="562" w:firstLineChars="200"/>
        <w:rPr>
          <w:rFonts w:ascii="宋体" w:hAnsi="宋体" w:cs="Arial"/>
          <w:b/>
          <w:bCs/>
          <w:color w:val="auto"/>
          <w:kern w:val="21"/>
          <w:sz w:val="28"/>
          <w:szCs w:val="28"/>
        </w:rPr>
      </w:pPr>
    </w:p>
    <w:p>
      <w:pPr>
        <w:pStyle w:val="48"/>
        <w:spacing w:line="240" w:lineRule="auto"/>
        <w:ind w:firstLine="562" w:firstLineChars="200"/>
        <w:rPr>
          <w:rFonts w:ascii="宋体" w:hAnsi="宋体" w:cs="Arial"/>
          <w:b/>
          <w:bCs/>
          <w:color w:val="auto"/>
          <w:kern w:val="21"/>
          <w:sz w:val="28"/>
          <w:szCs w:val="28"/>
        </w:rPr>
      </w:pPr>
    </w:p>
    <w:p>
      <w:pPr>
        <w:jc w:val="center"/>
        <w:rPr>
          <w:color w:val="auto"/>
        </w:rPr>
      </w:pPr>
    </w:p>
    <w:p>
      <w:pPr>
        <w:spacing w:line="360" w:lineRule="auto"/>
        <w:outlineLvl w:val="0"/>
        <w:rPr>
          <w:rFonts w:hint="eastAsia" w:ascii="宋体" w:hAnsi="宋体"/>
          <w:b/>
          <w:color w:val="auto"/>
          <w:kern w:val="0"/>
          <w:sz w:val="24"/>
          <w:szCs w:val="28"/>
        </w:rPr>
      </w:pPr>
      <w:bookmarkStart w:id="5" w:name="_Toc24679"/>
      <w:bookmarkStart w:id="6" w:name="_Toc14462"/>
      <w:bookmarkStart w:id="7" w:name="_Toc13112"/>
      <w:r>
        <w:rPr>
          <w:rFonts w:hint="eastAsia" w:ascii="宋体" w:hAnsi="宋体"/>
          <w:b/>
          <w:color w:val="auto"/>
          <w:kern w:val="0"/>
          <w:sz w:val="24"/>
          <w:szCs w:val="28"/>
        </w:rPr>
        <w:t>注：不满足招标文件中 “</w:t>
      </w:r>
      <w:r>
        <w:rPr>
          <w:rFonts w:hint="eastAsia" w:ascii="宋体" w:hAnsi="宋体"/>
          <w:b/>
          <w:color w:val="auto"/>
          <w:kern w:val="0"/>
          <w:sz w:val="24"/>
          <w:szCs w:val="28"/>
          <w:lang w:eastAsia="zh-CN"/>
        </w:rPr>
        <w:t>★</w:t>
      </w:r>
      <w:r>
        <w:rPr>
          <w:rFonts w:hint="eastAsia" w:ascii="宋体" w:hAnsi="宋体"/>
          <w:b/>
          <w:color w:val="auto"/>
          <w:kern w:val="0"/>
          <w:sz w:val="24"/>
          <w:szCs w:val="28"/>
        </w:rPr>
        <w:t>”条款的投标文件将作无效投标处理。</w:t>
      </w:r>
      <w:bookmarkEnd w:id="5"/>
      <w:bookmarkEnd w:id="6"/>
      <w:bookmarkEnd w:id="7"/>
    </w:p>
    <w:p>
      <w:pPr>
        <w:spacing w:line="360" w:lineRule="auto"/>
        <w:outlineLvl w:val="0"/>
        <w:rPr>
          <w:rFonts w:hint="eastAsia" w:ascii="宋体" w:hAnsi="宋体"/>
          <w:b/>
          <w:color w:val="auto"/>
          <w:kern w:val="0"/>
          <w:sz w:val="24"/>
          <w:szCs w:val="28"/>
        </w:rPr>
      </w:pPr>
      <w:r>
        <w:rPr>
          <w:rFonts w:hint="eastAsia" w:ascii="宋体" w:hAnsi="宋体"/>
          <w:b/>
          <w:color w:val="auto"/>
          <w:kern w:val="0"/>
          <w:sz w:val="24"/>
          <w:szCs w:val="28"/>
        </w:rPr>
        <w:br w:type="page"/>
      </w: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spacing w:line="360" w:lineRule="auto"/>
        <w:outlineLvl w:val="0"/>
        <w:rPr>
          <w:rFonts w:hint="eastAsia" w:ascii="宋体" w:hAnsi="宋体"/>
          <w:b/>
          <w:color w:val="auto"/>
          <w:kern w:val="0"/>
          <w:sz w:val="24"/>
          <w:szCs w:val="28"/>
        </w:rPr>
      </w:pPr>
    </w:p>
    <w:p>
      <w:pPr>
        <w:pStyle w:val="2"/>
        <w:jc w:val="center"/>
        <w:rPr>
          <w:color w:val="auto"/>
          <w:sz w:val="52"/>
          <w:szCs w:val="52"/>
        </w:rPr>
      </w:pPr>
      <w:bookmarkStart w:id="8" w:name="_Toc31825"/>
      <w:r>
        <w:rPr>
          <w:rFonts w:hint="eastAsia"/>
          <w:color w:val="auto"/>
          <w:sz w:val="52"/>
          <w:szCs w:val="52"/>
        </w:rPr>
        <w:t>第四部分 投标人须知</w:t>
      </w:r>
      <w:bookmarkEnd w:id="8"/>
    </w:p>
    <w:p>
      <w:pPr>
        <w:adjustRightInd/>
        <w:snapToGrid/>
        <w:spacing w:line="276" w:lineRule="auto"/>
        <w:rPr>
          <w:color w:val="auto"/>
        </w:rPr>
      </w:pPr>
      <w:r>
        <w:rPr>
          <w:color w:val="auto"/>
        </w:rPr>
        <w:br w:type="page"/>
      </w:r>
    </w:p>
    <w:p>
      <w:pPr>
        <w:pStyle w:val="3"/>
        <w:numPr>
          <w:ilvl w:val="0"/>
          <w:numId w:val="2"/>
        </w:numPr>
        <w:jc w:val="center"/>
        <w:rPr>
          <w:rFonts w:ascii="宋体" w:hAnsi="宋体" w:eastAsia="宋体"/>
          <w:color w:val="auto"/>
        </w:rPr>
      </w:pPr>
      <w:bookmarkStart w:id="9" w:name="_Toc25557"/>
      <w:r>
        <w:rPr>
          <w:rFonts w:hint="eastAsia" w:ascii="宋体" w:hAnsi="宋体" w:eastAsia="宋体"/>
          <w:color w:val="auto"/>
        </w:rPr>
        <w:t>说明</w:t>
      </w:r>
      <w:bookmarkEnd w:id="9"/>
    </w:p>
    <w:p>
      <w:pPr>
        <w:pStyle w:val="4"/>
        <w:widowControl w:val="0"/>
        <w:overflowPunct w:val="0"/>
        <w:spacing w:before="0" w:after="0" w:line="240" w:lineRule="auto"/>
        <w:rPr>
          <w:rFonts w:ascii="宋体" w:hAnsi="宋体" w:eastAsia="宋体"/>
          <w:color w:val="auto"/>
          <w:sz w:val="21"/>
          <w:szCs w:val="21"/>
        </w:rPr>
      </w:pPr>
      <w:bookmarkStart w:id="10" w:name="_Toc23664"/>
      <w:r>
        <w:rPr>
          <w:rFonts w:hint="eastAsia" w:ascii="宋体" w:hAnsi="宋体" w:eastAsia="宋体"/>
          <w:color w:val="auto"/>
          <w:sz w:val="21"/>
          <w:szCs w:val="21"/>
        </w:rPr>
        <w:t>1.适用范围</w:t>
      </w:r>
      <w:bookmarkEnd w:id="10"/>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招标范围：见本文件《用户需求书》</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11" w:name="_Toc607"/>
      <w:r>
        <w:rPr>
          <w:rFonts w:hint="eastAsia" w:ascii="宋体" w:hAnsi="宋体" w:eastAsia="宋体"/>
          <w:color w:val="auto"/>
          <w:sz w:val="21"/>
          <w:szCs w:val="21"/>
        </w:rPr>
        <w:t>2.</w:t>
      </w:r>
      <w:bookmarkStart w:id="12" w:name="_Toc303084246"/>
      <w:bookmarkStart w:id="13" w:name="_Toc1530"/>
      <w:bookmarkStart w:id="14" w:name="_Toc382049092"/>
      <w:bookmarkStart w:id="15" w:name="_Toc298847174"/>
      <w:r>
        <w:rPr>
          <w:rFonts w:hint="eastAsia" w:ascii="宋体" w:hAnsi="宋体" w:eastAsia="宋体"/>
          <w:color w:val="auto"/>
          <w:sz w:val="21"/>
          <w:szCs w:val="21"/>
        </w:rPr>
        <w:t>定义</w:t>
      </w:r>
      <w:bookmarkEnd w:id="11"/>
      <w:bookmarkEnd w:id="12"/>
      <w:bookmarkEnd w:id="13"/>
      <w:bookmarkEnd w:id="14"/>
      <w:bookmarkEnd w:id="15"/>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w:t>
      </w:r>
      <w:r>
        <w:rPr>
          <w:rFonts w:ascii="宋体" w:hAnsi="宋体" w:eastAsia="宋体"/>
          <w:color w:val="auto"/>
          <w:sz w:val="21"/>
          <w:szCs w:val="21"/>
        </w:rPr>
        <w:t>是指依法进行政府采购的国家机关、事业单位、团体组织</w:t>
      </w:r>
      <w:r>
        <w:rPr>
          <w:rFonts w:hint="eastAsia"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投标人：响应招标并且符合招标文件规定资格条件和参加投标竞争的法人、其他组织或者自然人。</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中标人：指经评标委员会评审推荐、采购人确认的获得本项目中标资格的投标人。</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采购代理机构：广东三方诚信招标有限公司。</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评标委员会：评标委员会是依据《中华人民共和国政府采购法》及其实施条例、《政府采购货物和服务招标投标管理办法》等组建的专门负责本次招标其评标工作的临时性机构。</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合同：指由本次招标所产生的合同或合约文件。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公章：</w:t>
      </w:r>
      <w:r>
        <w:rPr>
          <w:rFonts w:ascii="宋体" w:hAnsi="宋体" w:eastAsia="宋体"/>
          <w:color w:val="auto"/>
          <w:sz w:val="21"/>
          <w:szCs w:val="21"/>
        </w:rPr>
        <w:t>公章是</w:t>
      </w:r>
      <w:r>
        <w:rPr>
          <w:rFonts w:ascii="宋体" w:hAnsi="宋体" w:eastAsia="宋体"/>
          <w:iCs/>
          <w:color w:val="auto"/>
          <w:sz w:val="21"/>
          <w:szCs w:val="21"/>
        </w:rPr>
        <w:t>指</w:t>
      </w:r>
      <w:r>
        <w:rPr>
          <w:rFonts w:hint="eastAsia" w:ascii="宋体" w:hAnsi="宋体" w:eastAsia="宋体"/>
          <w:iCs/>
          <w:color w:val="auto"/>
          <w:sz w:val="21"/>
          <w:szCs w:val="21"/>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时间</w:t>
      </w:r>
      <w:r>
        <w:rPr>
          <w:rFonts w:hint="eastAsia" w:ascii="宋体" w:hAnsi="宋体" w:eastAsia="宋体"/>
          <w:iCs/>
          <w:color w:val="auto"/>
          <w:sz w:val="21"/>
          <w:szCs w:val="21"/>
        </w:rPr>
        <w:t>：本文件规定按日计算期间的，开始当天不计入，从次日开始计算。期限的最后一日是国家法定节假日的，顺延到节假日后的次日为期限的最后一日。</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16" w:name="_Toc18884"/>
      <w:r>
        <w:rPr>
          <w:rFonts w:hint="eastAsia" w:ascii="宋体" w:hAnsi="宋体" w:eastAsia="宋体"/>
          <w:color w:val="auto"/>
          <w:sz w:val="21"/>
          <w:szCs w:val="21"/>
        </w:rPr>
        <w:t>3.货物和服务</w:t>
      </w:r>
      <w:bookmarkEnd w:id="16"/>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货物</w:t>
      </w:r>
      <w:r>
        <w:rPr>
          <w:rFonts w:ascii="宋体" w:hAnsi="宋体" w:eastAsia="宋体"/>
          <w:color w:val="auto"/>
          <w:sz w:val="21"/>
          <w:szCs w:val="21"/>
        </w:rPr>
        <w:t>是指各种形态和种类的物品，包括原材料、燃料、设备、产品等</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服务是指除</w:t>
      </w:r>
      <w:r>
        <w:rPr>
          <w:rFonts w:ascii="宋体" w:hAnsi="宋体" w:eastAsia="宋体"/>
          <w:color w:val="auto"/>
          <w:sz w:val="21"/>
          <w:szCs w:val="21"/>
        </w:rPr>
        <w:t>除货物和工程以外的其他政府采购对象</w:t>
      </w:r>
      <w:r>
        <w:rPr>
          <w:rFonts w:hint="eastAsia"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属于政府采购强制采购节能产品，投标人提供所投产品应已列入国家发展改革委所发布的最新一期《节能产品政府采购清单》（注：该清单可查询中国政府采购网，请投标人打印产品所在清单页，并对相关内容作圈记）。</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17" w:name="_Toc20142"/>
      <w:r>
        <w:rPr>
          <w:rFonts w:hint="eastAsia" w:ascii="宋体" w:hAnsi="宋体" w:eastAsia="宋体"/>
          <w:color w:val="auto"/>
          <w:sz w:val="21"/>
          <w:szCs w:val="21"/>
        </w:rPr>
        <w:t>4.投标费用</w:t>
      </w:r>
      <w:bookmarkEnd w:id="17"/>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投标人应承担所有与编写投标文件和参加投标有关的自身的所有费用，不论投标的结果如何，采购代理机构机构和采购人在任何情况下均无义务和责任承担这些费用。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18" w:name="_Toc23183"/>
      <w:r>
        <w:rPr>
          <w:rFonts w:hint="eastAsia" w:ascii="宋体" w:hAnsi="宋体" w:eastAsia="宋体"/>
          <w:color w:val="auto"/>
          <w:sz w:val="21"/>
          <w:szCs w:val="21"/>
        </w:rPr>
        <w:t>5.知识产权</w:t>
      </w:r>
      <w:bookmarkEnd w:id="18"/>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采购人享有本项目实施过程中产生的知识成果及知识产权。</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采购货物为</w:t>
      </w:r>
      <w:r>
        <w:rPr>
          <w:rFonts w:ascii="宋体" w:hAnsi="宋体" w:eastAsia="宋体"/>
          <w:color w:val="auto"/>
          <w:sz w:val="21"/>
          <w:szCs w:val="21"/>
        </w:rPr>
        <w:t>计算机办公设备时，</w:t>
      </w:r>
      <w:r>
        <w:rPr>
          <w:rFonts w:hint="eastAsia" w:ascii="宋体" w:hAnsi="宋体" w:eastAsia="宋体"/>
          <w:color w:val="auto"/>
          <w:sz w:val="21"/>
          <w:szCs w:val="21"/>
        </w:rPr>
        <w:t>投标人提供的产品必须是</w:t>
      </w:r>
      <w:r>
        <w:rPr>
          <w:rFonts w:ascii="宋体" w:hAnsi="宋体" w:eastAsia="宋体"/>
          <w:color w:val="auto"/>
          <w:sz w:val="21"/>
          <w:szCs w:val="21"/>
        </w:rPr>
        <w:t>预装正版操作系统软件的计算机产品</w:t>
      </w:r>
      <w:r>
        <w:rPr>
          <w:rFonts w:hint="eastAsia" w:ascii="宋体" w:hAnsi="宋体" w:eastAsia="宋体"/>
          <w:color w:val="auto"/>
          <w:sz w:val="21"/>
          <w:szCs w:val="21"/>
        </w:rPr>
        <w:t>。</w:t>
      </w:r>
    </w:p>
    <w:p>
      <w:pPr>
        <w:widowControl w:val="0"/>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19" w:name="_Toc9016"/>
      <w:r>
        <w:rPr>
          <w:rFonts w:hint="eastAsia" w:ascii="宋体" w:hAnsi="宋体" w:eastAsia="宋体"/>
          <w:color w:val="auto"/>
          <w:sz w:val="21"/>
          <w:szCs w:val="21"/>
        </w:rPr>
        <w:t>6.关于联合体投标</w:t>
      </w:r>
      <w:bookmarkEnd w:id="19"/>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对接受联合体投标的项目：两个以上的自然人、法人或者其他组织可以组成一个联合体，以一个投标人的身份共同参加政府采购。</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联合体各方均应当符合《政府采购法》第二十二条规定的条件。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采购人根据采购项目的特殊要求规定投标人特定条件的，联合体各方中至少应当有一方符合采购人规定的特定条件。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联合体各方之间应当签订共同投标协议并</w:t>
      </w:r>
      <w:r>
        <w:rPr>
          <w:rFonts w:ascii="宋体" w:hAnsi="宋体" w:eastAsia="宋体"/>
          <w:color w:val="auto"/>
          <w:sz w:val="21"/>
          <w:szCs w:val="21"/>
        </w:rPr>
        <w:t>在投标文件内提交</w:t>
      </w:r>
      <w:r>
        <w:rPr>
          <w:rFonts w:hint="eastAsia" w:ascii="宋体" w:hAnsi="宋体" w:eastAsia="宋体"/>
          <w:color w:val="auto"/>
          <w:sz w:val="21"/>
          <w:szCs w:val="21"/>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供应商为联合体的，可以由联合体中的任意一方交纳保证金，其交纳的保证金对联合体各方均具有约束力。</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联合体中有同类资质的投标人按照联合体分工承担相同工作的，应当按照资质等级较低的供应商确定资质等级。</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联合体各方均为小型、微型企业的，各方均应提供《中小企业声明函》；中小企业声明函作为联合体一方参与政府采购活动，且《共同投标协议书》中约定，小型、微型企业的协议合同金额占到联合体协议合同总金额30%以上的，应附中小微企业的《中小企业声明函》。</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除联合体协议明确授权盖章单位外，联合体投标时投标文件中所有要求盖章的地方均须加盖联合体所有组成成员的公章，否则该处盖章无效。</w:t>
      </w:r>
    </w:p>
    <w:p>
      <w:pPr>
        <w:widowControl w:val="0"/>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20" w:name="_Toc4041"/>
      <w:r>
        <w:rPr>
          <w:rFonts w:hint="eastAsia" w:ascii="宋体" w:hAnsi="宋体" w:eastAsia="宋体"/>
          <w:color w:val="auto"/>
          <w:sz w:val="21"/>
          <w:szCs w:val="21"/>
        </w:rPr>
        <w:t>7.关于分公司投标</w:t>
      </w:r>
      <w:bookmarkEnd w:id="20"/>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bookmarkStart w:id="21" w:name="EB389f116341dd4693875bc7987e7327f3"/>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对可接受分公司投标的项目，分公司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1"/>
    </w:p>
    <w:p>
      <w:pPr>
        <w:rPr>
          <w:color w:val="auto"/>
        </w:rPr>
      </w:pPr>
    </w:p>
    <w:p>
      <w:pPr>
        <w:pStyle w:val="3"/>
        <w:numPr>
          <w:ilvl w:val="0"/>
          <w:numId w:val="2"/>
        </w:numPr>
        <w:jc w:val="center"/>
        <w:rPr>
          <w:rFonts w:ascii="宋体" w:hAnsi="宋体" w:eastAsia="宋体"/>
          <w:color w:val="auto"/>
        </w:rPr>
      </w:pPr>
      <w:bookmarkStart w:id="22" w:name="_Toc5156"/>
      <w:r>
        <w:rPr>
          <w:rFonts w:hint="eastAsia" w:ascii="宋体" w:hAnsi="宋体" w:eastAsia="宋体"/>
          <w:color w:val="auto"/>
        </w:rPr>
        <w:t>招标文件</w:t>
      </w:r>
      <w:bookmarkEnd w:id="22"/>
    </w:p>
    <w:p>
      <w:pPr>
        <w:pStyle w:val="4"/>
        <w:widowControl w:val="0"/>
        <w:overflowPunct w:val="0"/>
        <w:spacing w:before="0" w:after="0" w:line="240" w:lineRule="auto"/>
        <w:rPr>
          <w:rFonts w:ascii="宋体" w:hAnsi="宋体" w:eastAsia="宋体"/>
          <w:color w:val="auto"/>
          <w:sz w:val="21"/>
          <w:szCs w:val="21"/>
        </w:rPr>
      </w:pPr>
      <w:bookmarkStart w:id="23" w:name="_Toc4061"/>
      <w:r>
        <w:rPr>
          <w:rFonts w:hint="eastAsia" w:ascii="宋体" w:hAnsi="宋体" w:eastAsia="宋体"/>
          <w:color w:val="auto"/>
          <w:sz w:val="21"/>
          <w:szCs w:val="21"/>
        </w:rPr>
        <w:t>8.招标文件的组成</w:t>
      </w:r>
      <w:bookmarkEnd w:id="23"/>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招标文件包括：</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投标邀请书；</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投标资料表</w:t>
      </w:r>
      <w:r>
        <w:rPr>
          <w:rFonts w:hint="eastAsia" w:ascii="宋体" w:hAnsi="宋体" w:eastAsia="宋体"/>
          <w:color w:val="auto"/>
          <w:sz w:val="21"/>
          <w:szCs w:val="21"/>
          <w:lang w:eastAsia="zh-CN"/>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用户需求书</w:t>
      </w:r>
      <w:r>
        <w:rPr>
          <w:rFonts w:hint="eastAsia" w:ascii="宋体" w:hAnsi="宋体" w:eastAsia="宋体"/>
          <w:color w:val="auto"/>
          <w:sz w:val="21"/>
          <w:szCs w:val="21"/>
          <w:lang w:eastAsia="zh-CN"/>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投标人须知；</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拟签订的合同文本；</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投标文件格式；</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在招标过程中由采购代理机构发出的澄清更正文件等</w:t>
      </w:r>
      <w:r>
        <w:rPr>
          <w:rFonts w:hint="eastAsia" w:ascii="宋体" w:hAnsi="宋体" w:eastAsia="宋体"/>
          <w:color w:val="auto"/>
          <w:sz w:val="21"/>
          <w:szCs w:val="21"/>
          <w:lang w:eastAsia="zh-CN"/>
        </w:rPr>
        <w:t>。</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24" w:name="_Toc3463"/>
      <w:r>
        <w:rPr>
          <w:rFonts w:hint="eastAsia" w:ascii="宋体" w:hAnsi="宋体" w:eastAsia="宋体"/>
          <w:color w:val="auto"/>
          <w:sz w:val="21"/>
          <w:szCs w:val="21"/>
        </w:rPr>
        <w:t>9.招标文件的澄清或修改</w:t>
      </w:r>
      <w:bookmarkEnd w:id="24"/>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rPr>
        <w:t>具有约束作用</w:t>
      </w:r>
      <w:r>
        <w:rPr>
          <w:rFonts w:hint="eastAsia" w:ascii="宋体" w:hAnsi="宋体" w:eastAsia="宋体"/>
          <w:color w:val="auto"/>
          <w:sz w:val="21"/>
          <w:szCs w:val="21"/>
        </w:rPr>
        <w:t>。</w:t>
      </w:r>
      <w:r>
        <w:rPr>
          <w:rFonts w:ascii="宋体" w:hAnsi="宋体" w:eastAsia="宋体"/>
          <w:color w:val="auto"/>
          <w:sz w:val="21"/>
          <w:szCs w:val="21"/>
        </w:rPr>
        <w:t>当招标文件、招标文件的澄清</w:t>
      </w:r>
      <w:r>
        <w:rPr>
          <w:rFonts w:hint="eastAsia" w:ascii="宋体" w:hAnsi="宋体" w:eastAsia="宋体"/>
          <w:color w:val="auto"/>
          <w:sz w:val="21"/>
          <w:szCs w:val="21"/>
        </w:rPr>
        <w:t>或</w:t>
      </w:r>
      <w:r>
        <w:rPr>
          <w:rFonts w:ascii="宋体" w:hAnsi="宋体" w:eastAsia="宋体"/>
          <w:color w:val="auto"/>
          <w:sz w:val="21"/>
          <w:szCs w:val="21"/>
        </w:rPr>
        <w:t>修改等在同一内容的表述上不一致时，以最后发出的书面文件为准。</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rPr>
      </w:pPr>
    </w:p>
    <w:p>
      <w:pPr>
        <w:pStyle w:val="3"/>
        <w:numPr>
          <w:ilvl w:val="0"/>
          <w:numId w:val="2"/>
        </w:numPr>
        <w:jc w:val="center"/>
        <w:rPr>
          <w:rFonts w:ascii="宋体" w:hAnsi="宋体" w:eastAsia="宋体"/>
          <w:color w:val="auto"/>
        </w:rPr>
      </w:pPr>
      <w:bookmarkStart w:id="25" w:name="_Toc24699"/>
      <w:r>
        <w:rPr>
          <w:rFonts w:hint="eastAsia" w:ascii="宋体" w:hAnsi="宋体" w:eastAsia="宋体"/>
          <w:color w:val="auto"/>
        </w:rPr>
        <w:t>投标文件的编制</w:t>
      </w:r>
      <w:bookmarkEnd w:id="25"/>
    </w:p>
    <w:p>
      <w:pPr>
        <w:pStyle w:val="4"/>
        <w:widowControl w:val="0"/>
        <w:overflowPunct w:val="0"/>
        <w:spacing w:before="0" w:after="0" w:line="240" w:lineRule="auto"/>
        <w:rPr>
          <w:rFonts w:ascii="宋体" w:hAnsi="宋体" w:eastAsia="宋体"/>
          <w:color w:val="auto"/>
          <w:sz w:val="21"/>
          <w:szCs w:val="21"/>
        </w:rPr>
      </w:pPr>
      <w:bookmarkStart w:id="26" w:name="_Toc26745"/>
      <w:r>
        <w:rPr>
          <w:rFonts w:hint="eastAsia" w:ascii="宋体" w:hAnsi="宋体" w:eastAsia="宋体"/>
          <w:color w:val="auto"/>
          <w:sz w:val="21"/>
          <w:szCs w:val="21"/>
        </w:rPr>
        <w:t>10.投标文件的语言及度量衡单位</w:t>
      </w:r>
      <w:bookmarkEnd w:id="26"/>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除非招标文件在技术规格中另有规定，投标人在投标文件中及其与采购代理机构和采购人所有往来文件中的所有</w:t>
      </w:r>
      <w:r>
        <w:rPr>
          <w:rFonts w:ascii="宋体" w:hAnsi="宋体" w:eastAsia="宋体"/>
          <w:color w:val="auto"/>
          <w:sz w:val="21"/>
          <w:szCs w:val="21"/>
        </w:rPr>
        <w:t>计量单位</w:t>
      </w:r>
      <w:r>
        <w:rPr>
          <w:rFonts w:hint="eastAsia" w:ascii="宋体" w:hAnsi="宋体" w:eastAsia="宋体"/>
          <w:color w:val="auto"/>
          <w:sz w:val="21"/>
          <w:szCs w:val="21"/>
        </w:rPr>
        <w:t>均应采用中华人民共和国法定计量单位</w:t>
      </w:r>
      <w:r>
        <w:rPr>
          <w:rFonts w:ascii="宋体" w:hAnsi="宋体" w:eastAsia="宋体"/>
          <w:color w:val="auto"/>
          <w:sz w:val="21"/>
          <w:szCs w:val="21"/>
        </w:rPr>
        <w:t>。</w:t>
      </w:r>
    </w:p>
    <w:p>
      <w:pPr>
        <w:widowControl w:val="0"/>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27" w:name="_Toc24541"/>
      <w:bookmarkStart w:id="28" w:name="_Toc307934854"/>
      <w:bookmarkStart w:id="29" w:name="_Toc382049103"/>
      <w:bookmarkStart w:id="30" w:name="_Toc303084256"/>
      <w:bookmarkStart w:id="31" w:name="_Toc28866"/>
      <w:r>
        <w:rPr>
          <w:rFonts w:hint="eastAsia" w:ascii="宋体" w:hAnsi="宋体" w:eastAsia="宋体"/>
          <w:color w:val="auto"/>
          <w:sz w:val="21"/>
          <w:szCs w:val="21"/>
        </w:rPr>
        <w:t>11.</w:t>
      </w:r>
      <w:r>
        <w:rPr>
          <w:rFonts w:ascii="宋体" w:hAnsi="宋体" w:eastAsia="宋体"/>
          <w:color w:val="auto"/>
          <w:sz w:val="21"/>
          <w:szCs w:val="21"/>
        </w:rPr>
        <w:t>投标文件的组成</w:t>
      </w:r>
      <w:bookmarkEnd w:id="27"/>
      <w:bookmarkEnd w:id="28"/>
      <w:bookmarkEnd w:id="29"/>
      <w:bookmarkEnd w:id="30"/>
      <w:bookmarkEnd w:id="31"/>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包括但不限于</w:t>
      </w:r>
      <w:r>
        <w:rPr>
          <w:rFonts w:hint="eastAsia" w:ascii="宋体" w:hAnsi="宋体" w:eastAsia="宋体"/>
          <w:color w:val="auto"/>
          <w:sz w:val="21"/>
          <w:szCs w:val="21"/>
          <w:lang w:eastAsia="zh-CN"/>
        </w:rPr>
        <w:t>招标文件附件格式中要求的所有表格</w:t>
      </w:r>
      <w:r>
        <w:rPr>
          <w:rFonts w:hint="eastAsia"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上述文件须按顺序装订成册，并编制投标文件目录。除上述文件资料外投标人还须按投标人须知的要求制作“开标文件”。“开标文件”作为投标文件的一部分，但须单独密封。</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32" w:name="_Toc21963"/>
      <w:r>
        <w:rPr>
          <w:rFonts w:hint="eastAsia" w:ascii="宋体" w:hAnsi="宋体" w:eastAsia="宋体"/>
          <w:color w:val="auto"/>
          <w:sz w:val="21"/>
          <w:szCs w:val="21"/>
        </w:rPr>
        <w:t>12.投标文件编制</w:t>
      </w:r>
      <w:bookmarkEnd w:id="32"/>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bookmarkStart w:id="33" w:name="_Toc303084258"/>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投标人应按招标文件的规定以及附件要求的内容和格式完整地填写</w:t>
      </w:r>
      <w:r>
        <w:rPr>
          <w:rFonts w:ascii="宋体" w:hAnsi="宋体" w:eastAsia="宋体"/>
          <w:color w:val="auto"/>
          <w:sz w:val="21"/>
          <w:szCs w:val="21"/>
        </w:rPr>
        <w:t>（表格可以按同样格式扩展）</w:t>
      </w:r>
      <w:r>
        <w:rPr>
          <w:rFonts w:hint="eastAsia" w:ascii="宋体" w:hAnsi="宋体" w:eastAsia="宋体"/>
          <w:color w:val="auto"/>
          <w:sz w:val="21"/>
          <w:szCs w:val="21"/>
        </w:rPr>
        <w:t>和提供资料，投标人必须对投标文件所提供的全部资料（包括但不限于：</w:t>
      </w:r>
      <w:r>
        <w:rPr>
          <w:rFonts w:hint="eastAsia" w:ascii="宋体" w:hAnsi="宋体" w:eastAsia="宋体"/>
          <w:color w:val="auto"/>
          <w:sz w:val="21"/>
          <w:szCs w:val="21"/>
          <w:lang w:eastAsia="zh-CN"/>
        </w:rPr>
        <w:t>投标人公章，法人签字，投标人授权代表签字，业绩，单位人员，</w:t>
      </w:r>
      <w:r>
        <w:rPr>
          <w:rFonts w:hint="eastAsia" w:ascii="宋体" w:hAnsi="宋体" w:eastAsia="宋体"/>
          <w:color w:val="auto"/>
          <w:sz w:val="21"/>
          <w:szCs w:val="21"/>
        </w:rPr>
        <w:t>第三方证明材料等）的真实性承担法律责任，并无条件接受采购人或采购代理机构及政府采购监督管理部门等对其中任何资料进行核实的要求。</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因投标文件编制存在歧义对投标人产生负面影响的，投标人自行承担后果。</w:t>
      </w:r>
    </w:p>
    <w:p>
      <w:pPr>
        <w:widowControl w:val="0"/>
        <w:numPr>
          <w:ilvl w:val="1"/>
          <w:numId w:val="3"/>
        </w:numPr>
        <w:adjustRightInd/>
        <w:snapToGrid/>
        <w:spacing w:after="0" w:line="360" w:lineRule="exact"/>
        <w:jc w:val="both"/>
        <w:rPr>
          <w:rFonts w:hint="eastAsia" w:ascii="宋体" w:hAnsi="宋体" w:eastAsia="宋体"/>
          <w:color w:val="auto"/>
          <w:sz w:val="21"/>
          <w:szCs w:val="21"/>
        </w:rPr>
      </w:pPr>
      <w:r>
        <w:rPr>
          <w:rFonts w:hint="eastAsia" w:ascii="宋体" w:hAnsi="宋体" w:eastAsia="宋体"/>
          <w:color w:val="auto"/>
          <w:sz w:val="21"/>
          <w:szCs w:val="21"/>
          <w:lang w:eastAsia="zh-CN"/>
        </w:rPr>
        <w:t>投标单位名称与投标人公章不一致，若投标单位名称已进行变更，应在投标文件中提供相应的证明材料并加盖公章，否则投标文件无效。</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投标文件内的项目信息与本项目采购信息不符的，投标文件无效。</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投标人须客观撰写投标人简介（格式自理，并提供相关证明）以及所投的产品或服务说明。</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投标文件若出现以下内容，经评标委员会认定有可能间接影响评审秩序，作废标处理。</w:t>
      </w:r>
    </w:p>
    <w:p>
      <w:pPr>
        <w:pStyle w:val="22"/>
        <w:widowControl w:val="0"/>
        <w:numPr>
          <w:ilvl w:val="0"/>
          <w:numId w:val="4"/>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rPr>
        <w:t>投标文件内出现无官方证明文件的行业地域排名或</w:t>
      </w:r>
      <w:r>
        <w:rPr>
          <w:rFonts w:ascii="宋体" w:hAnsi="宋体" w:eastAsia="宋体"/>
          <w:color w:val="auto"/>
          <w:sz w:val="21"/>
          <w:szCs w:val="21"/>
        </w:rPr>
        <w:t>使用“国家级”、“最高级”、“最佳”等用语</w:t>
      </w:r>
      <w:r>
        <w:rPr>
          <w:rFonts w:hint="eastAsia" w:ascii="宋体" w:hAnsi="宋体" w:eastAsia="宋体"/>
          <w:color w:val="auto"/>
          <w:sz w:val="21"/>
          <w:szCs w:val="21"/>
        </w:rPr>
        <w:t>字眼的。</w:t>
      </w:r>
    </w:p>
    <w:p>
      <w:pPr>
        <w:pStyle w:val="22"/>
        <w:widowControl w:val="0"/>
        <w:numPr>
          <w:ilvl w:val="0"/>
          <w:numId w:val="4"/>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rPr>
        <w:t>投标文件内出现恶意诋毁、</w:t>
      </w:r>
      <w:r>
        <w:rPr>
          <w:rFonts w:ascii="宋体" w:hAnsi="宋体" w:eastAsia="宋体"/>
          <w:color w:val="auto"/>
          <w:sz w:val="21"/>
          <w:szCs w:val="21"/>
        </w:rPr>
        <w:t>贬低其他生产经营者的商品或者服务</w:t>
      </w:r>
      <w:r>
        <w:rPr>
          <w:rFonts w:hint="eastAsia" w:ascii="宋体" w:hAnsi="宋体" w:eastAsia="宋体"/>
          <w:color w:val="auto"/>
          <w:sz w:val="21"/>
          <w:szCs w:val="21"/>
        </w:rPr>
        <w:t>的内容。</w:t>
      </w:r>
    </w:p>
    <w:p>
      <w:pPr>
        <w:pStyle w:val="22"/>
        <w:widowControl w:val="0"/>
        <w:numPr>
          <w:ilvl w:val="0"/>
          <w:numId w:val="4"/>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rPr>
        <w:t>投标文件内使用或者变相使用国家机关、国家机关工作人员的名义或者形象。</w:t>
      </w:r>
    </w:p>
    <w:p>
      <w:pPr>
        <w:pStyle w:val="22"/>
        <w:widowControl w:val="0"/>
        <w:numPr>
          <w:ilvl w:val="0"/>
          <w:numId w:val="4"/>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lang w:eastAsia="zh-CN"/>
        </w:rPr>
        <w:t>投标文件内涉及专利产品或者专利方法，未提供相关使用证明的。</w:t>
      </w:r>
    </w:p>
    <w:bookmarkEnd w:id="33"/>
    <w:p>
      <w:pPr>
        <w:rPr>
          <w:color w:val="auto"/>
        </w:rPr>
      </w:pPr>
    </w:p>
    <w:p>
      <w:pPr>
        <w:pStyle w:val="4"/>
        <w:widowControl w:val="0"/>
        <w:overflowPunct w:val="0"/>
        <w:spacing w:before="0" w:after="0" w:line="240" w:lineRule="auto"/>
        <w:rPr>
          <w:rFonts w:ascii="宋体" w:hAnsi="宋体" w:eastAsia="宋体"/>
          <w:color w:val="auto"/>
          <w:sz w:val="21"/>
          <w:szCs w:val="21"/>
        </w:rPr>
      </w:pPr>
      <w:bookmarkStart w:id="34" w:name="_Toc290"/>
      <w:r>
        <w:rPr>
          <w:rFonts w:hint="eastAsia" w:ascii="宋体" w:hAnsi="宋体" w:eastAsia="宋体"/>
          <w:color w:val="auto"/>
          <w:sz w:val="21"/>
          <w:szCs w:val="21"/>
        </w:rPr>
        <w:t>13.投标报价说明</w:t>
      </w:r>
      <w:bookmarkEnd w:id="34"/>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本次招标，投标人</w:t>
      </w:r>
      <w:r>
        <w:rPr>
          <w:rFonts w:hint="eastAsia" w:ascii="宋体" w:hAnsi="宋体" w:eastAsia="宋体"/>
          <w:color w:val="auto"/>
          <w:sz w:val="21"/>
          <w:szCs w:val="21"/>
          <w:lang w:eastAsia="zh-CN"/>
        </w:rPr>
        <w:t>应按用户需求中的要求</w:t>
      </w:r>
      <w:r>
        <w:rPr>
          <w:rFonts w:hint="eastAsia" w:ascii="宋体" w:hAnsi="宋体" w:eastAsia="宋体"/>
          <w:color w:val="auto"/>
          <w:sz w:val="21"/>
          <w:szCs w:val="21"/>
        </w:rPr>
        <w:t>进行投标报价，少报无效。</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投标人所提供的货物或服务均以人民币报价。</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投标报价应包含完成本次招标所有服务内容的费用，包含各种税务费及合同实施过程中的全部费用和售后服务费等。</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中标后开出的所有发票必须与中标人的名称一致。</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35" w:name="_Toc13156"/>
      <w:r>
        <w:rPr>
          <w:rFonts w:hint="eastAsia" w:ascii="宋体" w:hAnsi="宋体" w:eastAsia="宋体"/>
          <w:color w:val="auto"/>
          <w:sz w:val="21"/>
          <w:szCs w:val="21"/>
        </w:rPr>
        <w:t>14.投标人所提供的服务或货物的证明文件</w:t>
      </w:r>
      <w:bookmarkEnd w:id="35"/>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bookmarkStart w:id="36" w:name="_Hlt107925638"/>
      <w:bookmarkEnd w:id="36"/>
      <w:bookmarkStart w:id="37" w:name="_Hlt107925668"/>
      <w:bookmarkEnd w:id="37"/>
      <w:r>
        <w:rPr>
          <w:rFonts w:hint="eastAsia" w:ascii="宋体" w:hAnsi="宋体" w:eastAsia="宋体"/>
          <w:color w:val="auto"/>
          <w:sz w:val="21"/>
          <w:szCs w:val="21"/>
        </w:rPr>
        <w:t>证明服务或货物的文件，它可以是文字资料、图纸和数据包括但不限于：服务主要内容、标准、质量、人员资质、计划安排、报告审核等的详细说明；对招标文件第五部分《用户需求书》中规定的要求进行详细应答和说明。</w:t>
      </w:r>
    </w:p>
    <w:p>
      <w:pPr>
        <w:pStyle w:val="22"/>
        <w:widowControl w:val="0"/>
        <w:adjustRightInd/>
        <w:snapToGrid/>
        <w:spacing w:after="0" w:line="360" w:lineRule="exact"/>
        <w:ind w:left="425" w:firstLine="0" w:firstLineChars="0"/>
        <w:jc w:val="both"/>
        <w:rPr>
          <w:color w:val="auto"/>
        </w:rPr>
      </w:pPr>
    </w:p>
    <w:p>
      <w:pPr>
        <w:pStyle w:val="4"/>
        <w:widowControl w:val="0"/>
        <w:overflowPunct w:val="0"/>
        <w:spacing w:before="0" w:after="0" w:line="240" w:lineRule="auto"/>
        <w:rPr>
          <w:rFonts w:ascii="宋体" w:hAnsi="宋体" w:eastAsia="宋体"/>
          <w:color w:val="auto"/>
          <w:sz w:val="21"/>
          <w:szCs w:val="21"/>
        </w:rPr>
      </w:pPr>
      <w:bookmarkStart w:id="38" w:name="_Toc11452"/>
      <w:r>
        <w:rPr>
          <w:rFonts w:hint="eastAsia" w:ascii="宋体" w:hAnsi="宋体" w:eastAsia="宋体"/>
          <w:color w:val="auto"/>
          <w:sz w:val="21"/>
          <w:szCs w:val="21"/>
        </w:rPr>
        <w:t>15.</w:t>
      </w:r>
      <w:r>
        <w:rPr>
          <w:rFonts w:hint="eastAsia" w:ascii="宋体" w:hAnsi="宋体" w:eastAsia="宋体"/>
          <w:color w:val="auto"/>
          <w:sz w:val="21"/>
          <w:szCs w:val="21"/>
          <w:lang w:eastAsia="zh-CN"/>
        </w:rPr>
        <w:t>★</w:t>
      </w:r>
      <w:r>
        <w:rPr>
          <w:rFonts w:hint="eastAsia" w:ascii="宋体" w:hAnsi="宋体" w:eastAsia="宋体"/>
          <w:color w:val="auto"/>
          <w:sz w:val="21"/>
          <w:szCs w:val="21"/>
        </w:rPr>
        <w:t>投标有效期</w:t>
      </w:r>
      <w:bookmarkEnd w:id="38"/>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投标文件应根据投标人须知的规定在投标截止日后的90天内保持有效。</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特殊情况下，在原有投标有效期截止之前，采购代理机构可要求投标人同意延长投标有效期。</w:t>
      </w:r>
    </w:p>
    <w:p>
      <w:pPr>
        <w:widowControl w:val="0"/>
        <w:adjustRightInd/>
        <w:snapToGrid/>
        <w:spacing w:after="0" w:line="360" w:lineRule="exact"/>
        <w:ind w:left="567"/>
        <w:jc w:val="both"/>
        <w:rPr>
          <w:color w:val="auto"/>
        </w:rPr>
      </w:pPr>
    </w:p>
    <w:p>
      <w:pPr>
        <w:pStyle w:val="4"/>
        <w:widowControl w:val="0"/>
        <w:overflowPunct w:val="0"/>
        <w:spacing w:before="0" w:after="0" w:line="240" w:lineRule="auto"/>
        <w:rPr>
          <w:rFonts w:ascii="宋体" w:hAnsi="宋体" w:eastAsia="宋体"/>
          <w:color w:val="auto"/>
          <w:sz w:val="21"/>
          <w:szCs w:val="21"/>
        </w:rPr>
      </w:pPr>
      <w:bookmarkStart w:id="39" w:name="_Toc18829"/>
      <w:r>
        <w:rPr>
          <w:rFonts w:hint="eastAsia" w:ascii="宋体" w:hAnsi="宋体" w:eastAsia="宋体"/>
          <w:color w:val="auto"/>
          <w:sz w:val="21"/>
          <w:szCs w:val="21"/>
        </w:rPr>
        <w:t>16.</w:t>
      </w:r>
      <w:r>
        <w:rPr>
          <w:rFonts w:hint="eastAsia" w:ascii="宋体" w:hAnsi="宋体" w:eastAsia="宋体"/>
          <w:color w:val="auto"/>
          <w:sz w:val="21"/>
          <w:szCs w:val="21"/>
          <w:lang w:eastAsia="zh-CN"/>
        </w:rPr>
        <w:t>★</w:t>
      </w:r>
      <w:r>
        <w:rPr>
          <w:rFonts w:hint="eastAsia" w:ascii="宋体" w:hAnsi="宋体" w:eastAsia="宋体"/>
          <w:color w:val="auto"/>
          <w:sz w:val="21"/>
          <w:szCs w:val="21"/>
        </w:rPr>
        <w:t>投标保证金</w:t>
      </w:r>
      <w:bookmarkEnd w:id="39"/>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bookmarkStart w:id="40" w:name="_Ref179619405"/>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投标人应按投标资料表中规定数额及</w:t>
      </w:r>
      <w:r>
        <w:rPr>
          <w:rFonts w:hint="eastAsia" w:ascii="宋体" w:hAnsi="宋体" w:eastAsia="宋体"/>
          <w:color w:val="auto"/>
          <w:sz w:val="21"/>
          <w:szCs w:val="21"/>
          <w:lang w:eastAsia="zh-CN"/>
        </w:rPr>
        <w:t>法律规定的</w:t>
      </w:r>
      <w:r>
        <w:rPr>
          <w:rFonts w:hint="eastAsia" w:ascii="宋体" w:hAnsi="宋体" w:eastAsia="宋体"/>
          <w:color w:val="auto"/>
          <w:sz w:val="21"/>
          <w:szCs w:val="21"/>
        </w:rPr>
        <w:t>时间提交投标保证金。</w:t>
      </w:r>
      <w:bookmarkEnd w:id="40"/>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投标保证金有效期与投标有效期保持一致。</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投标人应按要求提交投标保证金，投标人必须采用银行转账、电汇或《政府采购投标担保函》形式缴交，投标人与交款人名称必须一致，非投标投标人缴纳的投标保证金无效。</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采用银行转账、电汇方式提交的,付至采购代理机构指定账户上。 (详见投标人资料表)</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采用《政府采购投标担保函》提交的，应符合下列规定：</w:t>
      </w:r>
    </w:p>
    <w:p>
      <w:pPr>
        <w:spacing w:after="0"/>
        <w:ind w:firstLine="422" w:firstLineChars="200"/>
        <w:rPr>
          <w:rFonts w:ascii="宋体" w:hAnsi="宋体" w:eastAsia="宋体"/>
          <w:b/>
          <w:color w:val="auto"/>
          <w:sz w:val="21"/>
          <w:szCs w:val="21"/>
        </w:rPr>
      </w:pPr>
      <w:r>
        <w:rPr>
          <w:rFonts w:hint="eastAsia" w:ascii="宋体" w:hAnsi="宋体" w:eastAsia="宋体"/>
          <w:b/>
          <w:color w:val="auto"/>
          <w:sz w:val="21"/>
          <w:szCs w:val="21"/>
        </w:rPr>
        <w:t>①投标保证金可以以专业担保机构或金融机构出具的担保函的方式提交（可出具担保函机构详见东莞市政府采购网（网址</w:t>
      </w:r>
      <w:r>
        <w:rPr>
          <w:color w:val="auto"/>
        </w:rPr>
        <w:fldChar w:fldCharType="begin"/>
      </w:r>
      <w:r>
        <w:rPr>
          <w:color w:val="auto"/>
        </w:rPr>
        <w:instrText xml:space="preserve"> HYPERLINK "http://dggp.dg.gov.cn/" </w:instrText>
      </w:r>
      <w:r>
        <w:rPr>
          <w:color w:val="auto"/>
        </w:rPr>
        <w:fldChar w:fldCharType="separate"/>
      </w:r>
      <w:r>
        <w:rPr>
          <w:rFonts w:hint="eastAsia" w:ascii="宋体" w:hAnsi="宋体" w:eastAsia="宋体"/>
          <w:b/>
          <w:color w:val="auto"/>
          <w:sz w:val="21"/>
          <w:szCs w:val="21"/>
        </w:rPr>
        <w:t>http://dggp.dg.gov.cn/</w:t>
      </w:r>
      <w:r>
        <w:rPr>
          <w:rFonts w:hint="eastAsia" w:ascii="宋体" w:hAnsi="宋体" w:eastAsia="宋体"/>
          <w:b/>
          <w:color w:val="auto"/>
          <w:sz w:val="21"/>
          <w:szCs w:val="21"/>
        </w:rPr>
        <w:fldChar w:fldCharType="end"/>
      </w:r>
      <w:r>
        <w:rPr>
          <w:rFonts w:hint="eastAsia" w:ascii="宋体" w:hAnsi="宋体" w:eastAsia="宋体"/>
          <w:b/>
          <w:color w:val="auto"/>
          <w:sz w:val="21"/>
          <w:szCs w:val="21"/>
        </w:rPr>
        <w:t>））；</w:t>
      </w:r>
    </w:p>
    <w:p>
      <w:pPr>
        <w:spacing w:after="0"/>
        <w:ind w:firstLine="422" w:firstLineChars="200"/>
        <w:rPr>
          <w:rFonts w:ascii="宋体" w:hAnsi="宋体" w:eastAsia="宋体"/>
          <w:b/>
          <w:color w:val="auto"/>
          <w:sz w:val="21"/>
          <w:szCs w:val="21"/>
        </w:rPr>
      </w:pPr>
      <w:r>
        <w:rPr>
          <w:rFonts w:hint="eastAsia" w:ascii="宋体" w:hAnsi="宋体" w:eastAsia="宋体"/>
          <w:b/>
          <w:color w:val="auto"/>
          <w:sz w:val="21"/>
          <w:szCs w:val="21"/>
        </w:rPr>
        <w:t>②投标担保函有效期应与投标有效期一致；</w:t>
      </w:r>
    </w:p>
    <w:p>
      <w:pPr>
        <w:spacing w:after="0"/>
        <w:ind w:firstLine="422" w:firstLineChars="200"/>
        <w:rPr>
          <w:rFonts w:ascii="宋体" w:hAnsi="宋体" w:eastAsia="宋体"/>
          <w:b/>
          <w:color w:val="auto"/>
          <w:sz w:val="21"/>
          <w:szCs w:val="21"/>
        </w:rPr>
      </w:pPr>
      <w:r>
        <w:rPr>
          <w:rFonts w:hint="eastAsia" w:ascii="宋体" w:hAnsi="宋体" w:eastAsia="宋体"/>
          <w:b/>
          <w:color w:val="auto"/>
          <w:sz w:val="21"/>
          <w:szCs w:val="21"/>
        </w:rPr>
        <w:t>③</w:t>
      </w:r>
      <w:r>
        <w:rPr>
          <w:rFonts w:hint="eastAsia" w:ascii="宋体" w:hAnsi="宋体" w:eastAsia="宋体"/>
          <w:b/>
          <w:color w:val="auto"/>
          <w:sz w:val="21"/>
          <w:szCs w:val="21"/>
          <w:lang w:eastAsia="zh-CN"/>
        </w:rPr>
        <w:t>投</w:t>
      </w:r>
      <w:r>
        <w:rPr>
          <w:rFonts w:hint="eastAsia" w:ascii="宋体" w:hAnsi="宋体" w:eastAsia="宋体"/>
          <w:b/>
          <w:color w:val="auto"/>
          <w:sz w:val="21"/>
          <w:szCs w:val="21"/>
        </w:rPr>
        <w:t>标担保金额应与本项目的投标保证金一致；</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保证金不接受</w:t>
      </w:r>
      <w:r>
        <w:rPr>
          <w:rFonts w:hint="eastAsia" w:ascii="宋体" w:hAnsi="宋体" w:eastAsia="宋体"/>
          <w:color w:val="auto"/>
          <w:sz w:val="21"/>
          <w:szCs w:val="21"/>
        </w:rPr>
        <w:t>现金方式（包括以存现方式）提交，未按要求提交投标保证金的将导致废标。</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未中标的投标人的保证金应当在中标通知书发出后5个工作日内退还，中标投标人的保证金应当在采购合同签订后5个工作日内退还。</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为方便退还未中标的投保人的保证金，投标人应制作《投标保证金汇入情况说明》随开标文件一并递交。</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有下列情形之一的，投标保证金将不予退还：</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投标人在提交响应文件截止时间后撤回响应文件的；</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投标人在响应文件中提供虚假材料的；</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除因不可抗力或谈判文件、询价通知书认可的情形以外，中标单位不与采购人签订合同的；</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投标人与采购人、其他供应商或者采购代理机构恶意串通的；</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采购文件规定的其他情形。</w:t>
      </w:r>
      <w:r>
        <w:rPr>
          <w:rFonts w:ascii="宋体" w:hAnsi="宋体" w:eastAsia="宋体"/>
          <w:color w:val="auto"/>
          <w:sz w:val="21"/>
          <w:szCs w:val="21"/>
        </w:rPr>
        <w:t xml:space="preserve"> </w:t>
      </w:r>
    </w:p>
    <w:p>
      <w:pPr>
        <w:rPr>
          <w:color w:val="auto"/>
        </w:rPr>
      </w:pPr>
    </w:p>
    <w:p>
      <w:pPr>
        <w:pStyle w:val="3"/>
        <w:numPr>
          <w:ilvl w:val="0"/>
          <w:numId w:val="2"/>
        </w:numPr>
        <w:jc w:val="center"/>
        <w:rPr>
          <w:rFonts w:ascii="宋体" w:hAnsi="宋体" w:eastAsia="宋体"/>
          <w:color w:val="auto"/>
        </w:rPr>
      </w:pPr>
      <w:bookmarkStart w:id="41" w:name="_Toc27898"/>
      <w:r>
        <w:rPr>
          <w:rFonts w:hint="eastAsia" w:ascii="宋体" w:hAnsi="宋体" w:eastAsia="宋体"/>
          <w:color w:val="auto"/>
        </w:rPr>
        <w:t>投标文件的递交</w:t>
      </w:r>
      <w:bookmarkEnd w:id="41"/>
    </w:p>
    <w:p>
      <w:pPr>
        <w:pStyle w:val="4"/>
        <w:widowControl w:val="0"/>
        <w:overflowPunct w:val="0"/>
        <w:spacing w:before="0" w:after="0" w:line="240" w:lineRule="auto"/>
        <w:rPr>
          <w:rFonts w:ascii="宋体" w:hAnsi="宋体" w:eastAsia="宋体"/>
          <w:color w:val="auto"/>
          <w:sz w:val="21"/>
          <w:szCs w:val="21"/>
        </w:rPr>
      </w:pPr>
      <w:bookmarkStart w:id="42" w:name="_Toc6081"/>
      <w:bookmarkStart w:id="43" w:name="_Toc24997"/>
      <w:bookmarkStart w:id="44" w:name="_Toc382049111"/>
      <w:bookmarkStart w:id="45" w:name="_Toc303084264"/>
      <w:r>
        <w:rPr>
          <w:rFonts w:hint="eastAsia" w:ascii="宋体" w:hAnsi="宋体" w:eastAsia="宋体"/>
          <w:color w:val="auto"/>
          <w:sz w:val="21"/>
          <w:szCs w:val="21"/>
        </w:rPr>
        <w:t>17.</w:t>
      </w:r>
      <w:r>
        <w:rPr>
          <w:rFonts w:ascii="宋体" w:hAnsi="宋体" w:eastAsia="宋体"/>
          <w:color w:val="auto"/>
          <w:sz w:val="21"/>
          <w:szCs w:val="21"/>
        </w:rPr>
        <w:t>投标文件的</w:t>
      </w:r>
      <w:r>
        <w:rPr>
          <w:rFonts w:hint="eastAsia" w:ascii="宋体" w:hAnsi="宋体" w:eastAsia="宋体"/>
          <w:color w:val="auto"/>
          <w:sz w:val="21"/>
          <w:szCs w:val="21"/>
        </w:rPr>
        <w:t>装订，签署，</w:t>
      </w:r>
      <w:r>
        <w:rPr>
          <w:rFonts w:ascii="宋体" w:hAnsi="宋体" w:eastAsia="宋体"/>
          <w:color w:val="auto"/>
          <w:sz w:val="21"/>
          <w:szCs w:val="21"/>
        </w:rPr>
        <w:t>密封和标记</w:t>
      </w:r>
      <w:bookmarkEnd w:id="42"/>
      <w:bookmarkEnd w:id="43"/>
      <w:bookmarkEnd w:id="44"/>
      <w:bookmarkEnd w:id="45"/>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投标人应当对投标文件进行装订，对未经装订的投标文件可能发生的文件散落或缺损，由此产生的后果由投标人承担。</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投标文件</w:t>
      </w:r>
      <w:r>
        <w:rPr>
          <w:rFonts w:hint="eastAsia" w:ascii="宋体" w:hAnsi="宋体" w:eastAsia="宋体"/>
          <w:color w:val="auto"/>
          <w:sz w:val="21"/>
          <w:szCs w:val="21"/>
        </w:rPr>
        <w:t>正本均须用不褪色墨水书写或打印。投标文件的副本可采用投标文件的正本复印件，每套</w:t>
      </w:r>
      <w:r>
        <w:rPr>
          <w:rFonts w:ascii="宋体" w:hAnsi="宋体" w:eastAsia="宋体"/>
          <w:color w:val="auto"/>
          <w:sz w:val="21"/>
          <w:szCs w:val="21"/>
        </w:rPr>
        <w:t>投标文件</w:t>
      </w:r>
      <w:r>
        <w:rPr>
          <w:rFonts w:hint="eastAsia" w:ascii="宋体" w:hAnsi="宋体" w:eastAsia="宋体"/>
          <w:color w:val="auto"/>
          <w:sz w:val="21"/>
          <w:szCs w:val="21"/>
        </w:rPr>
        <w:t>应当标</w:t>
      </w:r>
      <w:r>
        <w:rPr>
          <w:rFonts w:ascii="宋体" w:hAnsi="宋体" w:eastAsia="宋体"/>
          <w:color w:val="auto"/>
          <w:sz w:val="21"/>
          <w:szCs w:val="21"/>
        </w:rPr>
        <w:t>明“正本”</w:t>
      </w:r>
      <w:r>
        <w:rPr>
          <w:rFonts w:hint="eastAsia" w:ascii="宋体" w:hAnsi="宋体" w:eastAsia="宋体"/>
          <w:color w:val="auto"/>
          <w:sz w:val="21"/>
          <w:szCs w:val="21"/>
        </w:rPr>
        <w:t>、</w:t>
      </w:r>
      <w:r>
        <w:rPr>
          <w:rFonts w:ascii="宋体" w:hAnsi="宋体" w:eastAsia="宋体"/>
          <w:color w:val="auto"/>
          <w:sz w:val="21"/>
          <w:szCs w:val="21"/>
        </w:rPr>
        <w:t>“副本”</w:t>
      </w:r>
      <w:r>
        <w:rPr>
          <w:rFonts w:hint="eastAsia" w:ascii="宋体" w:hAnsi="宋体" w:eastAsia="宋体"/>
          <w:color w:val="auto"/>
          <w:sz w:val="21"/>
          <w:szCs w:val="21"/>
        </w:rPr>
        <w:t>的字样</w:t>
      </w:r>
      <w:r>
        <w:rPr>
          <w:rFonts w:ascii="宋体" w:hAnsi="宋体" w:eastAsia="宋体"/>
          <w:color w:val="auto"/>
          <w:sz w:val="21"/>
          <w:szCs w:val="21"/>
        </w:rPr>
        <w:t>。</w:t>
      </w:r>
      <w:r>
        <w:rPr>
          <w:rFonts w:hint="eastAsia" w:ascii="宋体" w:hAnsi="宋体" w:eastAsia="宋体"/>
          <w:color w:val="auto"/>
          <w:sz w:val="21"/>
          <w:szCs w:val="21"/>
        </w:rPr>
        <w:t>投标文件的</w:t>
      </w:r>
      <w:r>
        <w:rPr>
          <w:rFonts w:hint="eastAsia" w:ascii="宋体" w:hAnsi="宋体" w:eastAsia="宋体"/>
          <w:color w:val="auto"/>
          <w:sz w:val="21"/>
          <w:szCs w:val="21"/>
          <w:lang w:eastAsia="zh-CN"/>
        </w:rPr>
        <w:t>【正本】</w:t>
      </w:r>
      <w:r>
        <w:rPr>
          <w:rFonts w:hint="eastAsia" w:ascii="宋体" w:hAnsi="宋体" w:eastAsia="宋体"/>
          <w:color w:val="auto"/>
          <w:sz w:val="21"/>
          <w:szCs w:val="21"/>
        </w:rPr>
        <w:t>及所有</w:t>
      </w:r>
      <w:r>
        <w:rPr>
          <w:rFonts w:hint="eastAsia" w:ascii="宋体" w:hAnsi="宋体" w:eastAsia="宋体"/>
          <w:color w:val="auto"/>
          <w:sz w:val="21"/>
          <w:szCs w:val="21"/>
          <w:lang w:eastAsia="zh-CN"/>
        </w:rPr>
        <w:t>【副本】</w:t>
      </w:r>
      <w:r>
        <w:rPr>
          <w:rFonts w:hint="eastAsia" w:ascii="宋体" w:hAnsi="宋体" w:eastAsia="宋体"/>
          <w:color w:val="auto"/>
          <w:sz w:val="21"/>
          <w:szCs w:val="21"/>
        </w:rPr>
        <w:t>的封面及骑缝均须加盖投标人公章（文件每页盖章等同于盖骑缝章）。若</w:t>
      </w:r>
      <w:r>
        <w:rPr>
          <w:rFonts w:ascii="宋体" w:hAnsi="宋体" w:eastAsia="宋体"/>
          <w:color w:val="auto"/>
          <w:sz w:val="21"/>
          <w:szCs w:val="21"/>
        </w:rPr>
        <w:t>正本</w:t>
      </w:r>
      <w:r>
        <w:rPr>
          <w:rFonts w:hint="eastAsia" w:ascii="宋体" w:hAnsi="宋体" w:eastAsia="宋体"/>
          <w:color w:val="auto"/>
          <w:sz w:val="21"/>
          <w:szCs w:val="21"/>
        </w:rPr>
        <w:t>与</w:t>
      </w:r>
      <w:r>
        <w:rPr>
          <w:rFonts w:ascii="宋体" w:hAnsi="宋体" w:eastAsia="宋体"/>
          <w:color w:val="auto"/>
          <w:sz w:val="21"/>
          <w:szCs w:val="21"/>
        </w:rPr>
        <w:t>副本</w:t>
      </w:r>
      <w:r>
        <w:rPr>
          <w:rFonts w:hint="eastAsia" w:ascii="宋体" w:hAnsi="宋体" w:eastAsia="宋体"/>
          <w:color w:val="auto"/>
          <w:sz w:val="21"/>
          <w:szCs w:val="21"/>
        </w:rPr>
        <w:t>不符，以</w:t>
      </w:r>
      <w:r>
        <w:rPr>
          <w:rFonts w:ascii="宋体" w:hAnsi="宋体" w:eastAsia="宋体"/>
          <w:color w:val="auto"/>
          <w:sz w:val="21"/>
          <w:szCs w:val="21"/>
        </w:rPr>
        <w:t>正本为准。</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联合体投标文件的【正本】及【副本】的封面及骑缝均须加盖所有联合体组成成员的公章。（文件每页盖章等同于盖骑缝章）</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电子文件内容包括：由投标人自行制作的与正本文件一致的所有文件。电子文件</w:t>
      </w:r>
      <w:r>
        <w:rPr>
          <w:rFonts w:hint="eastAsia" w:ascii="宋体" w:hAnsi="宋体" w:eastAsia="宋体"/>
          <w:color w:val="auto"/>
          <w:sz w:val="21"/>
          <w:szCs w:val="21"/>
        </w:rPr>
        <w:t>由</w:t>
      </w:r>
      <w:r>
        <w:rPr>
          <w:rFonts w:ascii="宋体" w:hAnsi="宋体" w:eastAsia="宋体"/>
          <w:color w:val="auto"/>
          <w:sz w:val="21"/>
          <w:szCs w:val="21"/>
        </w:rPr>
        <w:t>光盘</w:t>
      </w:r>
      <w:r>
        <w:rPr>
          <w:rFonts w:hint="eastAsia" w:ascii="宋体" w:hAnsi="宋体" w:eastAsia="宋体"/>
          <w:color w:val="auto"/>
          <w:sz w:val="21"/>
          <w:szCs w:val="21"/>
        </w:rPr>
        <w:t>或U盘</w:t>
      </w:r>
      <w:r>
        <w:rPr>
          <w:rFonts w:ascii="宋体" w:hAnsi="宋体" w:eastAsia="宋体"/>
          <w:color w:val="auto"/>
          <w:sz w:val="21"/>
          <w:szCs w:val="21"/>
        </w:rPr>
        <w:t>储存</w:t>
      </w:r>
      <w:r>
        <w:rPr>
          <w:rFonts w:hint="eastAsia" w:ascii="宋体" w:hAnsi="宋体" w:eastAsia="宋体"/>
          <w:color w:val="auto"/>
          <w:sz w:val="21"/>
          <w:szCs w:val="21"/>
          <w:lang w:eastAsia="zh-CN"/>
        </w:rPr>
        <w:t>，并注明投标人名称及项目名称、采购编号，随投标文件正本一同密封提交</w:t>
      </w:r>
      <w:r>
        <w:rPr>
          <w:rFonts w:hint="eastAsia"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除投标人对错误处修改外，全套投标文件应无涂改或行间插字和增删。如有修改，修改处</w:t>
      </w:r>
      <w:r>
        <w:rPr>
          <w:rFonts w:hint="eastAsia" w:ascii="宋体" w:hAnsi="宋体" w:eastAsia="宋体"/>
          <w:color w:val="auto"/>
          <w:sz w:val="21"/>
          <w:szCs w:val="21"/>
        </w:rPr>
        <w:t>须由法定代表人或其正式授权代表在旁边签字或盖章</w:t>
      </w:r>
      <w:r>
        <w:rPr>
          <w:rFonts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投标人应将投标文件</w:t>
      </w:r>
      <w:r>
        <w:rPr>
          <w:rFonts w:hint="eastAsia" w:ascii="宋体" w:hAnsi="宋体" w:eastAsia="宋体"/>
          <w:color w:val="auto"/>
          <w:sz w:val="21"/>
          <w:szCs w:val="21"/>
          <w:lang w:eastAsia="zh-CN"/>
        </w:rPr>
        <w:t>进行非透明的封装，以防止投标文件内容的泄露</w:t>
      </w:r>
      <w:r>
        <w:rPr>
          <w:rFonts w:hint="eastAsia" w:ascii="宋体" w:hAnsi="宋体" w:eastAsia="宋体"/>
          <w:color w:val="auto"/>
          <w:sz w:val="21"/>
          <w:szCs w:val="21"/>
        </w:rPr>
        <w:t>。</w:t>
      </w:r>
      <w:r>
        <w:rPr>
          <w:rFonts w:hint="eastAsia" w:ascii="宋体" w:hAnsi="宋体" w:eastAsia="宋体"/>
          <w:color w:val="auto"/>
          <w:sz w:val="21"/>
          <w:szCs w:val="21"/>
          <w:lang w:eastAsia="zh-CN"/>
        </w:rPr>
        <w:t>采购代理机构将拒绝接收采用透明包装进行密封的投标文件。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密封破损导致投标文件内容直接或间接泄露的投标文件，采购代理机构将拒绝接收。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 xml:space="preserve">所有的信封均应注明： </w:t>
      </w:r>
    </w:p>
    <w:p>
      <w:pPr>
        <w:widowControl w:val="0"/>
        <w:numPr>
          <w:ilvl w:val="0"/>
          <w:numId w:val="5"/>
        </w:numPr>
        <w:adjustRightInd/>
        <w:snapToGrid/>
        <w:spacing w:after="0" w:line="360" w:lineRule="exact"/>
        <w:ind w:left="567"/>
        <w:jc w:val="both"/>
        <w:rPr>
          <w:rFonts w:hint="eastAsia" w:ascii="宋体" w:hAnsi="宋体" w:eastAsia="宋体"/>
          <w:color w:val="auto"/>
          <w:sz w:val="21"/>
          <w:szCs w:val="21"/>
        </w:rPr>
      </w:pPr>
      <w:r>
        <w:rPr>
          <w:rFonts w:hint="eastAsia" w:ascii="宋体" w:hAnsi="宋体" w:eastAsia="宋体"/>
          <w:color w:val="auto"/>
          <w:sz w:val="21"/>
          <w:szCs w:val="21"/>
        </w:rPr>
        <w:t>收件人：广东三方诚信招标有限公司</w:t>
      </w:r>
    </w:p>
    <w:p>
      <w:pPr>
        <w:widowControl w:val="0"/>
        <w:numPr>
          <w:ilvl w:val="0"/>
          <w:numId w:val="5"/>
        </w:numPr>
        <w:adjustRightInd/>
        <w:snapToGrid/>
        <w:spacing w:after="0" w:line="360" w:lineRule="exact"/>
        <w:ind w:left="567"/>
        <w:jc w:val="both"/>
        <w:rPr>
          <w:rFonts w:hint="eastAsia" w:ascii="宋体" w:hAnsi="宋体" w:eastAsia="宋体"/>
          <w:color w:val="auto"/>
          <w:sz w:val="21"/>
          <w:szCs w:val="21"/>
        </w:rPr>
      </w:pPr>
      <w:r>
        <w:rPr>
          <w:rFonts w:hint="eastAsia" w:ascii="宋体" w:hAnsi="宋体" w:eastAsia="宋体"/>
          <w:color w:val="auto"/>
          <w:sz w:val="21"/>
          <w:szCs w:val="21"/>
          <w:lang w:eastAsia="zh-CN"/>
        </w:rPr>
        <w:t>投标单位名称：</w:t>
      </w:r>
    </w:p>
    <w:p>
      <w:pPr>
        <w:widowControl w:val="0"/>
        <w:numPr>
          <w:ilvl w:val="0"/>
          <w:numId w:val="5"/>
        </w:numPr>
        <w:adjustRightInd/>
        <w:snapToGrid/>
        <w:spacing w:after="0" w:line="360" w:lineRule="exact"/>
        <w:ind w:left="567" w:leftChars="0" w:firstLine="0" w:firstLineChars="0"/>
        <w:jc w:val="both"/>
        <w:rPr>
          <w:rFonts w:hint="eastAsia" w:ascii="宋体" w:hAnsi="宋体" w:eastAsia="宋体"/>
          <w:color w:val="auto"/>
          <w:sz w:val="21"/>
          <w:szCs w:val="21"/>
        </w:rPr>
      </w:pPr>
      <w:r>
        <w:rPr>
          <w:rFonts w:hint="eastAsia" w:ascii="宋体" w:hAnsi="宋体" w:eastAsia="宋体"/>
          <w:color w:val="auto"/>
          <w:sz w:val="21"/>
          <w:szCs w:val="21"/>
        </w:rPr>
        <w:t xml:space="preserve">项目名称：             </w:t>
      </w:r>
    </w:p>
    <w:p>
      <w:pPr>
        <w:widowControl w:val="0"/>
        <w:numPr>
          <w:ilvl w:val="0"/>
          <w:numId w:val="5"/>
        </w:numPr>
        <w:adjustRightInd/>
        <w:snapToGrid/>
        <w:spacing w:after="0" w:line="360" w:lineRule="exact"/>
        <w:ind w:left="567" w:leftChars="0" w:firstLine="0" w:firstLineChars="0"/>
        <w:jc w:val="both"/>
        <w:rPr>
          <w:rFonts w:ascii="宋体" w:hAnsi="宋体" w:eastAsia="宋体"/>
          <w:color w:val="auto"/>
          <w:sz w:val="21"/>
          <w:szCs w:val="21"/>
        </w:rPr>
      </w:pPr>
      <w:r>
        <w:rPr>
          <w:rFonts w:hint="eastAsia" w:ascii="宋体" w:hAnsi="宋体" w:eastAsia="宋体"/>
          <w:color w:val="auto"/>
          <w:sz w:val="21"/>
          <w:szCs w:val="21"/>
          <w:lang w:eastAsia="zh-CN"/>
        </w:rPr>
        <w:t>项目招标</w:t>
      </w:r>
      <w:r>
        <w:rPr>
          <w:rFonts w:hint="eastAsia" w:ascii="宋体" w:hAnsi="宋体" w:eastAsia="宋体"/>
          <w:color w:val="auto"/>
          <w:sz w:val="21"/>
          <w:szCs w:val="21"/>
        </w:rPr>
        <w:t xml:space="preserve">编号：                   </w:t>
      </w:r>
    </w:p>
    <w:p>
      <w:pPr>
        <w:widowControl w:val="0"/>
        <w:adjustRightInd/>
        <w:snapToGrid/>
        <w:spacing w:after="0" w:line="360" w:lineRule="exact"/>
        <w:ind w:left="567"/>
        <w:jc w:val="both"/>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）以及在本项目规定的开标时间之前不得启封的字句。</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未进行项目报名的单位（以采购代理机构报名表为准）递交的投标文件，采购代理机构将拒绝接收。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密封信封上的项目编号错误或项目名称出现严重歧义的（包括采购内容不符），采购代理机构将拒绝接收。</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采购代理机构对所有投标文件的误投或提前启封概不负责。</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投标人同时参加几个包投标时必须按招标文件要求按包号分别制作投标文件，分别密封递交。</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邮寄，传真或电传的投标文件将被拒绝。</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递交的投标文件中所提供的通讯方式应保持联络畅通，因联系不上而导致的所有后果由投标人自行承担。</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46" w:name="_Toc4150"/>
      <w:r>
        <w:rPr>
          <w:rFonts w:hint="eastAsia" w:ascii="宋体" w:hAnsi="宋体" w:eastAsia="宋体"/>
          <w:color w:val="auto"/>
          <w:sz w:val="21"/>
          <w:szCs w:val="21"/>
        </w:rPr>
        <w:t>18.迟交的投标文件</w:t>
      </w:r>
      <w:bookmarkEnd w:id="46"/>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投标人在投标截止时间之后提交的投标文件，采购代理机构将拒绝接收</w:t>
      </w:r>
      <w:r>
        <w:rPr>
          <w:rFonts w:ascii="宋体" w:hAnsi="宋体" w:eastAsia="宋体"/>
          <w:color w:val="auto"/>
          <w:sz w:val="21"/>
          <w:szCs w:val="21"/>
        </w:rPr>
        <w:t>。</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有</w:t>
      </w:r>
      <w:r>
        <w:rPr>
          <w:rFonts w:hint="eastAsia" w:ascii="宋体" w:hAnsi="宋体" w:eastAsia="宋体"/>
          <w:color w:val="auto"/>
          <w:sz w:val="21"/>
          <w:szCs w:val="21"/>
          <w:lang w:eastAsia="zh-CN"/>
        </w:rPr>
        <w:t>违反其他法律规定情形</w:t>
      </w:r>
      <w:r>
        <w:rPr>
          <w:rFonts w:hint="eastAsia" w:ascii="宋体" w:hAnsi="宋体" w:eastAsia="宋体"/>
          <w:color w:val="auto"/>
          <w:sz w:val="21"/>
          <w:szCs w:val="21"/>
        </w:rPr>
        <w:t>的</w:t>
      </w:r>
      <w:r>
        <w:rPr>
          <w:rFonts w:hint="eastAsia" w:ascii="宋体" w:hAnsi="宋体" w:eastAsia="宋体"/>
          <w:color w:val="auto"/>
          <w:sz w:val="21"/>
          <w:szCs w:val="21"/>
          <w:lang w:eastAsia="zh-CN"/>
        </w:rPr>
        <w:t>，采购代理机构将拒绝接收。</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47" w:name="_Toc21676"/>
      <w:r>
        <w:rPr>
          <w:rFonts w:hint="eastAsia" w:ascii="宋体" w:hAnsi="宋体" w:eastAsia="宋体"/>
          <w:color w:val="auto"/>
          <w:sz w:val="21"/>
          <w:szCs w:val="21"/>
        </w:rPr>
        <w:t>19.投标样品（如需提交）</w:t>
      </w:r>
      <w:bookmarkEnd w:id="47"/>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如有必要，采购代理机构可以要求投标人提供本服务项目涉及的部分设备或产品样品，投标人在投标时应提交《样品清单》（并加盖公章和授权人代表签字）。</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为方便评标，投标人在提供样品时，必须在所提供的样品表面显著位置标注投标人的名称、包号、样品名称、招标文件规定的服务或货物编号（并加盖公章和授权人代表签字）。</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48" w:name="_Toc30007"/>
      <w:bookmarkStart w:id="49" w:name="_Toc303084265"/>
      <w:bookmarkStart w:id="50" w:name="_Toc9777"/>
      <w:bookmarkStart w:id="51" w:name="_Toc382049112"/>
      <w:r>
        <w:rPr>
          <w:rFonts w:hint="eastAsia" w:ascii="宋体" w:hAnsi="宋体" w:eastAsia="宋体"/>
          <w:color w:val="auto"/>
          <w:sz w:val="21"/>
          <w:szCs w:val="21"/>
        </w:rPr>
        <w:t>20.投标截止期</w:t>
      </w:r>
      <w:bookmarkEnd w:id="48"/>
      <w:bookmarkEnd w:id="49"/>
      <w:bookmarkEnd w:id="50"/>
      <w:bookmarkEnd w:id="51"/>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投标人应在招标文件规定的截止日期和时间前，将投标文件送达到指定地点。</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w:t>
      </w:r>
      <w:r>
        <w:rPr>
          <w:rFonts w:ascii="宋体" w:hAnsi="宋体" w:eastAsia="宋体"/>
          <w:color w:val="auto"/>
          <w:sz w:val="21"/>
          <w:szCs w:val="21"/>
        </w:rPr>
        <w:t>可按本须知规定以</w:t>
      </w:r>
      <w:r>
        <w:rPr>
          <w:rFonts w:hint="eastAsia" w:ascii="宋体" w:hAnsi="宋体" w:eastAsia="宋体"/>
          <w:color w:val="auto"/>
          <w:sz w:val="21"/>
          <w:szCs w:val="21"/>
        </w:rPr>
        <w:t>澄清或</w:t>
      </w:r>
      <w:r>
        <w:rPr>
          <w:rFonts w:ascii="宋体" w:hAnsi="宋体" w:eastAsia="宋体"/>
          <w:color w:val="auto"/>
          <w:sz w:val="21"/>
          <w:szCs w:val="21"/>
        </w:rPr>
        <w:t>修改通知的方式，酌情延长</w:t>
      </w:r>
      <w:r>
        <w:rPr>
          <w:rFonts w:hint="eastAsia" w:ascii="宋体" w:hAnsi="宋体" w:eastAsia="宋体"/>
          <w:color w:val="auto"/>
          <w:sz w:val="21"/>
          <w:szCs w:val="21"/>
        </w:rPr>
        <w:t>递</w:t>
      </w:r>
      <w:r>
        <w:rPr>
          <w:rFonts w:ascii="宋体" w:hAnsi="宋体" w:eastAsia="宋体"/>
          <w:color w:val="auto"/>
          <w:sz w:val="21"/>
          <w:szCs w:val="21"/>
        </w:rPr>
        <w:t>交投标文件的截止时间。在此情况下，投标人的所有权利和义务以及投标人受制约的截止时间，均以延长后新的投标截止时间为准。</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52" w:name="_Toc9094"/>
      <w:r>
        <w:rPr>
          <w:rFonts w:hint="eastAsia" w:ascii="宋体" w:hAnsi="宋体" w:eastAsia="宋体"/>
          <w:color w:val="auto"/>
          <w:sz w:val="21"/>
          <w:szCs w:val="21"/>
        </w:rPr>
        <w:t>21.投标文件的补充、修改与撤回</w:t>
      </w:r>
      <w:bookmarkEnd w:id="52"/>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投标文件一经递交不予退还。</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在提交投标文件截止时间至投标有效期满之前，投标人不得撤回其投标，否则其投标保证金将不予退还。</w:t>
      </w:r>
    </w:p>
    <w:p>
      <w:pPr>
        <w:pStyle w:val="3"/>
        <w:numPr>
          <w:ilvl w:val="0"/>
          <w:numId w:val="2"/>
        </w:numPr>
        <w:jc w:val="center"/>
        <w:rPr>
          <w:rFonts w:ascii="宋体" w:hAnsi="宋体" w:eastAsia="宋体"/>
          <w:color w:val="auto"/>
        </w:rPr>
      </w:pPr>
      <w:bookmarkStart w:id="53" w:name="_Toc7096"/>
      <w:r>
        <w:rPr>
          <w:rFonts w:hint="eastAsia" w:ascii="宋体" w:hAnsi="宋体" w:eastAsia="宋体"/>
          <w:color w:val="auto"/>
        </w:rPr>
        <w:t>开标与评标</w:t>
      </w:r>
      <w:bookmarkEnd w:id="53"/>
    </w:p>
    <w:p>
      <w:pPr>
        <w:pStyle w:val="4"/>
        <w:widowControl w:val="0"/>
        <w:overflowPunct w:val="0"/>
        <w:spacing w:before="0" w:after="0" w:line="240" w:lineRule="auto"/>
        <w:rPr>
          <w:rFonts w:ascii="宋体" w:hAnsi="宋体" w:eastAsia="宋体"/>
          <w:color w:val="auto"/>
          <w:sz w:val="21"/>
          <w:szCs w:val="21"/>
        </w:rPr>
      </w:pPr>
      <w:bookmarkStart w:id="54" w:name="_Toc20722"/>
      <w:r>
        <w:rPr>
          <w:rFonts w:hint="eastAsia" w:ascii="宋体" w:hAnsi="宋体" w:eastAsia="宋体"/>
          <w:color w:val="auto"/>
          <w:sz w:val="21"/>
          <w:szCs w:val="21"/>
        </w:rPr>
        <w:t>22.开标</w:t>
      </w:r>
      <w:bookmarkEnd w:id="54"/>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采购代理机构按</w:t>
      </w:r>
      <w:r>
        <w:rPr>
          <w:rFonts w:ascii="宋体" w:hAnsi="宋体" w:eastAsia="宋体"/>
          <w:color w:val="auto"/>
          <w:sz w:val="21"/>
          <w:szCs w:val="21"/>
        </w:rPr>
        <w:t>本</w:t>
      </w:r>
      <w:r>
        <w:rPr>
          <w:rFonts w:hint="eastAsia" w:ascii="宋体" w:hAnsi="宋体" w:eastAsia="宋体"/>
          <w:color w:val="auto"/>
          <w:sz w:val="21"/>
          <w:szCs w:val="21"/>
        </w:rPr>
        <w:t>招标文件</w:t>
      </w:r>
      <w:r>
        <w:rPr>
          <w:rFonts w:ascii="宋体" w:hAnsi="宋体" w:eastAsia="宋体"/>
          <w:color w:val="auto"/>
          <w:sz w:val="21"/>
          <w:szCs w:val="21"/>
        </w:rPr>
        <w:t>所规定的时间和地点公开开标，并邀请所有投标人</w:t>
      </w:r>
      <w:r>
        <w:rPr>
          <w:rFonts w:hint="eastAsia" w:ascii="宋体" w:hAnsi="宋体" w:eastAsia="宋体"/>
          <w:color w:val="auto"/>
          <w:sz w:val="21"/>
          <w:szCs w:val="21"/>
        </w:rPr>
        <w:t>代表</w:t>
      </w:r>
      <w:r>
        <w:rPr>
          <w:rFonts w:ascii="宋体" w:hAnsi="宋体" w:eastAsia="宋体"/>
          <w:color w:val="auto"/>
          <w:sz w:val="21"/>
          <w:szCs w:val="21"/>
        </w:rPr>
        <w:t>参加。</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开标程序：</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开标</w:t>
      </w:r>
      <w:r>
        <w:rPr>
          <w:rFonts w:hint="eastAsia" w:ascii="宋体" w:hAnsi="宋体" w:eastAsia="宋体"/>
          <w:color w:val="auto"/>
          <w:sz w:val="21"/>
          <w:szCs w:val="21"/>
        </w:rPr>
        <w:t>会</w:t>
      </w:r>
      <w:r>
        <w:rPr>
          <w:rFonts w:ascii="宋体" w:hAnsi="宋体" w:eastAsia="宋体"/>
          <w:color w:val="auto"/>
          <w:sz w:val="21"/>
          <w:szCs w:val="21"/>
        </w:rPr>
        <w:t>由</w:t>
      </w:r>
      <w:r>
        <w:rPr>
          <w:rFonts w:hint="eastAsia" w:ascii="宋体" w:hAnsi="宋体" w:eastAsia="宋体"/>
          <w:color w:val="auto"/>
          <w:sz w:val="21"/>
          <w:szCs w:val="21"/>
        </w:rPr>
        <w:t>采购代理机构</w:t>
      </w:r>
      <w:r>
        <w:rPr>
          <w:rFonts w:ascii="宋体" w:hAnsi="宋体" w:eastAsia="宋体"/>
          <w:color w:val="auto"/>
          <w:sz w:val="21"/>
          <w:szCs w:val="21"/>
        </w:rPr>
        <w:t>主持</w:t>
      </w:r>
      <w:r>
        <w:rPr>
          <w:rFonts w:hint="eastAsia" w:ascii="宋体" w:hAnsi="宋体" w:eastAsia="宋体"/>
          <w:color w:val="auto"/>
          <w:sz w:val="21"/>
          <w:szCs w:val="21"/>
        </w:rPr>
        <w:t>，投标人的法定代表人或其授权代表携带有效身份证明准时参加开标会并签名报到。</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投标人代表对开标过程和开标记录有疑义，以及认为采购人、采购代理机构相关工作人员有需要回避的情形的，应当场提出询问或者回避申请。</w:t>
      </w:r>
      <w:r>
        <w:rPr>
          <w:rFonts w:hint="eastAsia" w:ascii="宋体" w:hAnsi="宋体" w:eastAsia="宋体"/>
          <w:color w:val="auto"/>
          <w:sz w:val="21"/>
          <w:szCs w:val="21"/>
          <w:lang w:eastAsia="zh-CN"/>
        </w:rPr>
        <w:t>开标现场未提出疑义的视为认同开标结果。开标结束后，投标人对开标过程和开标记录不得再提出疑义。</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投标人未参加开标的，视同认可开标结果。</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合格投标人不足3家的，不得开标；</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开标过程应当由采购人或者采购代理机构负责记录，由参加开标的各投标人代表和相关工作人员签字确认。</w:t>
      </w:r>
    </w:p>
    <w:p>
      <w:pPr>
        <w:widowControl w:val="0"/>
        <w:numPr>
          <w:ilvl w:val="1"/>
          <w:numId w:val="3"/>
        </w:numPr>
        <w:adjustRightInd/>
        <w:snapToGrid/>
        <w:spacing w:after="0" w:line="360" w:lineRule="exact"/>
        <w:jc w:val="both"/>
        <w:rPr>
          <w:color w:val="auto"/>
        </w:rPr>
      </w:pPr>
      <w:r>
        <w:rPr>
          <w:rFonts w:hint="eastAsia" w:ascii="宋体" w:hAnsi="宋体" w:eastAsia="宋体"/>
          <w:color w:val="auto"/>
          <w:sz w:val="21"/>
          <w:szCs w:val="21"/>
        </w:rPr>
        <w:t>投标人代表对开标过程和开标记录有异议，以及认为采购人、采购代理机构相关工作人员有需要回避的情形的，应当场提出询问或者回避申请。</w:t>
      </w:r>
    </w:p>
    <w:p>
      <w:pPr>
        <w:widowControl w:val="0"/>
        <w:adjustRightInd/>
        <w:snapToGrid/>
        <w:spacing w:after="0" w:line="360" w:lineRule="exact"/>
        <w:ind w:left="567"/>
        <w:jc w:val="both"/>
        <w:rPr>
          <w:color w:val="auto"/>
        </w:rPr>
      </w:pPr>
    </w:p>
    <w:p>
      <w:pPr>
        <w:pStyle w:val="4"/>
        <w:widowControl w:val="0"/>
        <w:overflowPunct w:val="0"/>
        <w:spacing w:before="0" w:after="0" w:line="240" w:lineRule="auto"/>
        <w:rPr>
          <w:rFonts w:ascii="宋体" w:hAnsi="宋体" w:eastAsia="宋体"/>
          <w:color w:val="auto"/>
          <w:sz w:val="21"/>
          <w:szCs w:val="21"/>
        </w:rPr>
      </w:pPr>
      <w:bookmarkStart w:id="55" w:name="_Toc8773"/>
      <w:r>
        <w:rPr>
          <w:rFonts w:hint="eastAsia" w:ascii="宋体" w:hAnsi="宋体" w:eastAsia="宋体"/>
          <w:color w:val="auto"/>
          <w:sz w:val="21"/>
          <w:szCs w:val="21"/>
        </w:rPr>
        <w:t>23.评标委员会及评标方法</w:t>
      </w:r>
      <w:bookmarkEnd w:id="55"/>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评标委员会根据招标项目的特点进行组建，并负责评标工作。</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评审方法：本次招标的评审方法采用综合评分法。</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定标原则：在最大限度</w:t>
      </w:r>
      <w:r>
        <w:rPr>
          <w:rFonts w:ascii="宋体" w:hAnsi="宋体" w:eastAsia="宋体"/>
          <w:color w:val="auto"/>
          <w:sz w:val="21"/>
          <w:szCs w:val="21"/>
        </w:rPr>
        <w:t>满足招标文件</w:t>
      </w:r>
      <w:r>
        <w:rPr>
          <w:rFonts w:hint="eastAsia" w:ascii="宋体" w:hAnsi="宋体" w:eastAsia="宋体"/>
          <w:color w:val="auto"/>
          <w:sz w:val="21"/>
          <w:szCs w:val="21"/>
        </w:rPr>
        <w:t>实质性要求前提下，按照招标文件规定的各项评价因素进行量化打分，以评标总得分最高的投标投标人作为中标候选人或中标人。</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评标委员会和采购人在评审过程中有权对投标人进行实地核查，并在必要时核对投标文件中相关材料的原件。</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56" w:name="_Toc15353"/>
      <w:r>
        <w:rPr>
          <w:rFonts w:hint="eastAsia" w:ascii="宋体" w:hAnsi="宋体" w:eastAsia="宋体"/>
          <w:color w:val="auto"/>
          <w:sz w:val="21"/>
          <w:szCs w:val="21"/>
        </w:rPr>
        <w:t>24.评审原则及评标过程的保密</w:t>
      </w:r>
      <w:bookmarkEnd w:id="56"/>
    </w:p>
    <w:p>
      <w:pPr>
        <w:pStyle w:val="22"/>
        <w:widowControl w:val="0"/>
        <w:numPr>
          <w:ilvl w:val="0"/>
          <w:numId w:val="3"/>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评审的基本原则：评标委员会将依据《中华人民共和国政府采购法》及国家和地方政府有关法规的规定，遵循“公开、公平、公正、择优、信用”的原则进行评审工作。</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从公开开标到签订合同，凡与审查、澄清、评审和投标有关的资料以及定标意见相关的事项，均不得向投标人及与评标无关的其他人透露。</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任何单位和个人不得非法干预、影响评标的过程和结果。</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57" w:name="_Toc25538"/>
      <w:r>
        <w:rPr>
          <w:rFonts w:hint="eastAsia" w:ascii="宋体" w:hAnsi="宋体" w:eastAsia="宋体"/>
          <w:color w:val="auto"/>
          <w:sz w:val="21"/>
          <w:szCs w:val="21"/>
        </w:rPr>
        <w:t>25.投标文件的初审</w:t>
      </w:r>
      <w:bookmarkEnd w:id="57"/>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采购文件的实质性要求。</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投标文件报价出现前后不一致的，评标委员会按照下列规定修正：</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投标文件中开标一览表（报价表）内容与投标文件中相应内容不一致的，以开标一览表（报价表）为准；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大写金额和小写金额不一致的，以大写金额为准；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单价金额小数点或者百分比有明显错位的，以开标一览表的总价为准，并修改单价；</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总价金额与按单价汇总金额不一致的，以单价金额计算结果为准。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同时出现两种以上不一致的，按照前款规定的顺序修正。修正后的报价按照经投标人确认后产生约束力，投标人不确认的，其投标无效。</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对于投标文件中不构成实质性偏差的不正规、不一致或不规则，评标委员会可以接受，但这种接受不能损害或影响任何投标人的相对排序。</w:t>
      </w:r>
    </w:p>
    <w:p>
      <w:pPr>
        <w:widowControl w:val="0"/>
        <w:numPr>
          <w:ilvl w:val="1"/>
          <w:numId w:val="3"/>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在详细评标之前，评标委员会要审查每份投标文件是否实质上响应了招标文件的要求。实质上响应的投标应该是与招标文件要求的全部主要条款（加“</w:t>
      </w:r>
      <w:r>
        <w:rPr>
          <w:rFonts w:hint="eastAsia" w:ascii="宋体" w:hAnsi="宋体" w:eastAsia="宋体"/>
          <w:color w:val="auto"/>
          <w:sz w:val="21"/>
          <w:szCs w:val="21"/>
          <w:lang w:eastAsia="zh-CN"/>
        </w:rPr>
        <w:t>★</w:t>
      </w:r>
      <w:r>
        <w:rPr>
          <w:rFonts w:hint="eastAsia" w:ascii="宋体" w:hAnsi="宋体" w:eastAsia="宋体"/>
          <w:color w:val="auto"/>
          <w:sz w:val="21"/>
          <w:szCs w:val="21"/>
        </w:rPr>
        <w:t>”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实质上没有响应招标文件的要求的投标将被作废标处理。投标人不得通过修正或撤消不合要求的偏离或保留从而使其投标成为实质上响应的投标。评标委员会评审中，</w:t>
      </w:r>
      <w:r>
        <w:rPr>
          <w:rFonts w:hint="eastAsia" w:ascii="宋体" w:hAnsi="宋体" w:eastAsia="宋体"/>
          <w:b/>
          <w:color w:val="auto"/>
          <w:sz w:val="21"/>
          <w:szCs w:val="21"/>
        </w:rPr>
        <w:t>发现下列情况之一的，其投标将作废标处理</w:t>
      </w:r>
      <w:r>
        <w:rPr>
          <w:rFonts w:hint="eastAsia" w:ascii="宋体" w:hAnsi="宋体" w:eastAsia="宋体"/>
          <w:color w:val="auto"/>
          <w:sz w:val="21"/>
          <w:szCs w:val="21"/>
        </w:rPr>
        <w:t>：</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1) 资格瑕疵</w:t>
      </w:r>
    </w:p>
    <w:p>
      <w:pPr>
        <w:widowControl w:val="0"/>
        <w:tabs>
          <w:tab w:val="left" w:pos="907"/>
        </w:tabs>
        <w:adjustRightInd/>
        <w:snapToGrid/>
        <w:spacing w:after="0" w:line="360" w:lineRule="exact"/>
        <w:ind w:left="567"/>
        <w:jc w:val="both"/>
        <w:rPr>
          <w:rFonts w:hint="eastAsia" w:ascii="宋体" w:hAnsi="宋体" w:eastAsia="宋体"/>
          <w:color w:val="auto"/>
          <w:sz w:val="21"/>
          <w:szCs w:val="21"/>
          <w:lang w:eastAsia="zh-CN"/>
        </w:rPr>
      </w:pPr>
      <w:r>
        <w:rPr>
          <w:rFonts w:hint="eastAsia" w:ascii="宋体" w:hAnsi="宋体" w:eastAsia="宋体"/>
          <w:color w:val="auto"/>
          <w:sz w:val="21"/>
          <w:szCs w:val="21"/>
        </w:rPr>
        <w:t>包括但不限于：①资格证明文件未提供或不符合招标文件要求的；</w:t>
      </w:r>
      <w:r>
        <w:rPr>
          <w:rFonts w:ascii="宋体" w:hAnsi="宋体" w:eastAsia="宋体"/>
          <w:color w:val="auto"/>
          <w:sz w:val="21"/>
          <w:szCs w:val="21"/>
        </w:rPr>
        <w:t xml:space="preserve"> </w:t>
      </w:r>
      <w:r>
        <w:rPr>
          <w:rFonts w:hint="eastAsia" w:ascii="宋体" w:hAnsi="宋体" w:eastAsia="宋体"/>
          <w:color w:val="auto"/>
          <w:sz w:val="21"/>
          <w:szCs w:val="21"/>
        </w:rPr>
        <w:t>②资格证明文件有效期过期的</w:t>
      </w:r>
      <w:r>
        <w:rPr>
          <w:rFonts w:hint="eastAsia" w:ascii="宋体" w:hAnsi="宋体" w:eastAsia="宋体"/>
          <w:color w:val="auto"/>
          <w:sz w:val="21"/>
          <w:szCs w:val="21"/>
          <w:lang w:eastAsia="zh-CN"/>
        </w:rPr>
        <w:t>；③营业执照未提供或有效期过期的。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包括但不限于：①投标人未按招标文件要求提交投标保证金；②提交方式、提交时间不符合招标文件要求；③投标保证金有效期不符合招标文件要求。</w:t>
      </w:r>
      <w:bookmarkStart w:id="58"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（二）符合性检查</w:t>
      </w:r>
      <w:bookmarkEnd w:id="58"/>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b/>
          <w:color w:val="auto"/>
          <w:sz w:val="21"/>
          <w:szCs w:val="21"/>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包括但不限于：①投标文件的数量、制作不符合要求</w:t>
      </w:r>
      <w:r>
        <w:rPr>
          <w:rFonts w:hint="eastAsia" w:ascii="宋体" w:hAnsi="宋体" w:eastAsia="宋体"/>
          <w:color w:val="auto"/>
          <w:sz w:val="21"/>
          <w:szCs w:val="21"/>
          <w:lang w:eastAsia="zh-CN"/>
        </w:rPr>
        <w:t>（包括但不限于投标文件内容与采购内容不符，投标文件项目招标编号错误，投标文件项目名称错误，投标文件采用活动夹装订等）</w:t>
      </w:r>
      <w:r>
        <w:rPr>
          <w:rFonts w:hint="eastAsia" w:ascii="宋体" w:hAnsi="宋体" w:eastAsia="宋体"/>
          <w:color w:val="auto"/>
          <w:sz w:val="21"/>
          <w:szCs w:val="21"/>
        </w:rPr>
        <w:t>；②投标文件</w:t>
      </w:r>
      <w:r>
        <w:rPr>
          <w:rFonts w:hint="eastAsia" w:ascii="宋体" w:hAnsi="宋体" w:eastAsia="宋体"/>
          <w:color w:val="auto"/>
          <w:sz w:val="21"/>
          <w:szCs w:val="21"/>
          <w:lang w:eastAsia="zh-CN"/>
        </w:rPr>
        <w:t>中要求签字的内容</w:t>
      </w:r>
      <w:r>
        <w:rPr>
          <w:rFonts w:hint="eastAsia" w:ascii="宋体" w:hAnsi="宋体" w:eastAsia="宋体"/>
          <w:color w:val="auto"/>
          <w:sz w:val="21"/>
          <w:szCs w:val="21"/>
        </w:rPr>
        <w:t>无法定代表人或其授权代表签字，或签字人无法定代表人有效授权的；③签字盖章不符合招标文件要求的；④投标文件内容有严重缺漏项的；⑤投标报价有严重缺漏项的；⑥投标文件的关键内容字迹模糊、无法辨认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包括但不限于：①投标文件不满足招标文件中加注星号（</w:t>
      </w:r>
      <w:r>
        <w:rPr>
          <w:rFonts w:hint="eastAsia" w:ascii="宋体" w:hAnsi="宋体" w:eastAsia="宋体"/>
          <w:color w:val="auto"/>
          <w:sz w:val="21"/>
          <w:szCs w:val="21"/>
          <w:lang w:eastAsia="zh-CN"/>
        </w:rPr>
        <w:t>★</w:t>
      </w:r>
      <w:r>
        <w:rPr>
          <w:rFonts w:hint="eastAsia" w:ascii="宋体" w:hAnsi="宋体" w:eastAsia="宋体"/>
          <w:color w:val="auto"/>
          <w:sz w:val="21"/>
          <w:szCs w:val="21"/>
        </w:rPr>
        <w:t>）的主要参数要求或加注星号的主要参数无技术资料支持的；②一般参数超出允许偏离的最大范围或最高项数的；③投标文件技术响应与事实不符或虚假投标的；④《技术规格偏离表》未填写或填写不真实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包括但不限于：①招标文件加注星号（</w:t>
      </w:r>
      <w:r>
        <w:rPr>
          <w:rFonts w:hint="eastAsia" w:ascii="宋体" w:hAnsi="宋体" w:eastAsia="宋体"/>
          <w:color w:val="auto"/>
          <w:sz w:val="21"/>
          <w:szCs w:val="21"/>
          <w:lang w:eastAsia="zh-CN"/>
        </w:rPr>
        <w:t>★</w:t>
      </w:r>
      <w:r>
        <w:rPr>
          <w:rFonts w:hint="eastAsia" w:ascii="宋体" w:hAnsi="宋体" w:eastAsia="宋体"/>
          <w:color w:val="auto"/>
          <w:sz w:val="21"/>
          <w:szCs w:val="21"/>
        </w:rPr>
        <w:t>）的商务要求负偏离的；②招标项目完成期（包括但不限于：工期，服务期，交货期等）未满足招标文件要求的；③投标文件载明的货物包装方式、检验标准和方法不符合招标文件要求的；④《商务条款偏离表》未填写或填写不真实的；⑤采购代理机构服务费条款有偏离的；⑥投标人低于成本报价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4）投标报价</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包括但不限于：投标报价超过本招标文件明确的项目预算以及最高限价。</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根据项目情况，评标委员会有权决定招标文件中“可能导致废标”或“可能导致其投标被拒绝”等具体条款是否实施“废标”或“投标被拒绝”，但对同一条款的裁决应适用于每个投标人。</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59" w:name="_Toc29674"/>
      <w:r>
        <w:rPr>
          <w:rFonts w:hint="eastAsia" w:ascii="宋体" w:hAnsi="宋体" w:eastAsia="宋体"/>
          <w:color w:val="auto"/>
          <w:sz w:val="21"/>
          <w:szCs w:val="21"/>
        </w:rPr>
        <w:t>26.商务、技术、价格评审（具体评审项目详见投标资料表）</w:t>
      </w:r>
      <w:bookmarkEnd w:id="59"/>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对通过</w:t>
      </w:r>
      <w:r>
        <w:rPr>
          <w:rFonts w:hint="eastAsia" w:ascii="宋体" w:hAnsi="宋体" w:eastAsia="宋体"/>
          <w:color w:val="auto"/>
          <w:sz w:val="21"/>
          <w:szCs w:val="21"/>
        </w:rPr>
        <w:t>资格性审查和</w:t>
      </w:r>
      <w:r>
        <w:rPr>
          <w:rFonts w:ascii="宋体" w:hAnsi="宋体" w:eastAsia="宋体"/>
          <w:color w:val="auto"/>
          <w:sz w:val="21"/>
          <w:szCs w:val="21"/>
        </w:rPr>
        <w:t>符合性检查的投标人进行商务技术综合评议，针对投标文件对招标文件的响应情况对各个投标人进行商务和技术评分</w:t>
      </w:r>
      <w:r>
        <w:rPr>
          <w:rFonts w:hint="eastAsia" w:ascii="宋体" w:hAnsi="宋体" w:eastAsia="宋体"/>
          <w:color w:val="auto"/>
          <w:sz w:val="21"/>
          <w:szCs w:val="21"/>
        </w:rPr>
        <w:t xml:space="preserve">。 </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商务得分、技术得分相加得出最终评标得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评标委员会按照最终评标得分由高到低的顺序推荐中标候选人，</w:t>
      </w:r>
      <w:r>
        <w:rPr>
          <w:rFonts w:ascii="宋体" w:hAnsi="宋体" w:eastAsia="宋体"/>
          <w:color w:val="auto"/>
          <w:sz w:val="21"/>
          <w:szCs w:val="21"/>
        </w:rPr>
        <w:t>最终评标</w:t>
      </w:r>
      <w:r>
        <w:rPr>
          <w:rFonts w:hint="eastAsia" w:ascii="宋体" w:hAnsi="宋体" w:eastAsia="宋体"/>
          <w:color w:val="auto"/>
          <w:sz w:val="21"/>
          <w:szCs w:val="21"/>
        </w:rPr>
        <w:t>得分最高的投标人为第一中标候选人，</w:t>
      </w:r>
      <w:r>
        <w:rPr>
          <w:rFonts w:ascii="宋体" w:hAnsi="宋体" w:eastAsia="宋体"/>
          <w:color w:val="auto"/>
          <w:sz w:val="21"/>
          <w:szCs w:val="21"/>
        </w:rPr>
        <w:t>最终评标</w:t>
      </w:r>
      <w:r>
        <w:rPr>
          <w:rFonts w:hint="eastAsia" w:ascii="宋体" w:hAnsi="宋体" w:eastAsia="宋体"/>
          <w:color w:val="auto"/>
          <w:sz w:val="21"/>
          <w:szCs w:val="21"/>
        </w:rPr>
        <w:t>得分次高的投标人为第二中标候选人，依次类推。若多家投标人评标总得分相同，按投标报价由低到高顺序排列，确定投标报价最低为第一中标候选人；若评标总得分且投标报价相同的，按技术指标优劣顺序排列，技术评分最高为第一中标候选人。</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60" w:name="_Toc14932"/>
      <w:r>
        <w:rPr>
          <w:rFonts w:hint="eastAsia" w:ascii="宋体" w:hAnsi="宋体" w:eastAsia="宋体"/>
          <w:color w:val="auto"/>
          <w:sz w:val="21"/>
          <w:szCs w:val="21"/>
        </w:rPr>
        <w:t>27.优惠政策</w:t>
      </w:r>
      <w:bookmarkEnd w:id="60"/>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对小型或微型企业、监狱企业、残疾人福利性单位投标的扶持：</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根据财政部、工业和信息化部制定了《政府采购促进中小企业发展暂行办法》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符合中小企业划分标准：应当符合小型或微型企业划分标准；提供本企业制造的货物、承担的工程或者服务，或者提供其他小型或微型企业的制造的货物。本项所称货物不包括使用大型企业注册商标的货物。</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符合享受政府采购支持政策的残疾人福利性单位划分标准：</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（5）提供本单位制造的货物、承担的工程或者服务（以下简称产品），或者提供其他残疾人福利性单位制造的货物（不包括使用非残疾人福利性单位注册商标的货物）。</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投标人为小型或微型企业且投标产品含小型或微型企业产品时，其价格的扣除详见投标资料表。</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投标人同时为小型、微型企业、监狱企业、残疾人福利性单位任两种或以上情况的，评审中只享受一次价格扣除，不重复进行价格扣除。</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大中型企业和其他自然人、法人或者其他组织与小型、微型企业组成联合体共同参加非专门面向中小企业的政府采购活动。联合协议中约定，小型、微型企业的协议合同金额占到联合体协议合同总金额30%以上的，可给予联合体一定的价格扣除（详见投标资料表）。</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61" w:name="_Toc316375620"/>
      <w:bookmarkStart w:id="62" w:name="_Toc382049120"/>
      <w:bookmarkStart w:id="63" w:name="_Toc20328"/>
      <w:bookmarkStart w:id="64" w:name="_Toc6688"/>
      <w:r>
        <w:rPr>
          <w:rFonts w:hint="eastAsia" w:ascii="宋体" w:hAnsi="宋体" w:eastAsia="宋体"/>
          <w:color w:val="auto"/>
          <w:sz w:val="21"/>
          <w:szCs w:val="21"/>
        </w:rPr>
        <w:t>28.纪律和</w:t>
      </w:r>
      <w:r>
        <w:rPr>
          <w:rFonts w:ascii="宋体" w:hAnsi="宋体" w:eastAsia="宋体"/>
          <w:color w:val="auto"/>
          <w:sz w:val="21"/>
          <w:szCs w:val="21"/>
        </w:rPr>
        <w:t>保密</w:t>
      </w:r>
      <w:bookmarkEnd w:id="61"/>
      <w:r>
        <w:rPr>
          <w:rFonts w:hint="eastAsia" w:ascii="宋体" w:hAnsi="宋体" w:eastAsia="宋体"/>
          <w:color w:val="auto"/>
          <w:sz w:val="21"/>
          <w:szCs w:val="21"/>
        </w:rPr>
        <w:t>事项</w:t>
      </w:r>
      <w:bookmarkEnd w:id="62"/>
      <w:bookmarkEnd w:id="63"/>
      <w:bookmarkEnd w:id="64"/>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投标人不得串通作弊，以不正当的手段妨碍、排挤其他投标人，扰乱招标市场，破坏公平竞争原则。否则将按相关法律规定严肃处理。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获得本招标文件的投标人，应对文件进行保密，不得用作本次投标以外的任何用途。开标后，投标人应归还招标文件中要求保密的文件和资料。</w:t>
      </w:r>
    </w:p>
    <w:p>
      <w:pPr>
        <w:rPr>
          <w:color w:val="auto"/>
        </w:rPr>
      </w:pPr>
    </w:p>
    <w:p>
      <w:pPr>
        <w:pStyle w:val="3"/>
        <w:numPr>
          <w:ilvl w:val="0"/>
          <w:numId w:val="2"/>
        </w:numPr>
        <w:jc w:val="center"/>
        <w:rPr>
          <w:rFonts w:ascii="宋体" w:hAnsi="宋体" w:eastAsia="宋体"/>
          <w:color w:val="auto"/>
        </w:rPr>
      </w:pPr>
      <w:bookmarkStart w:id="65" w:name="_Toc23184"/>
      <w:r>
        <w:rPr>
          <w:rFonts w:hint="eastAsia" w:ascii="宋体" w:hAnsi="宋体" w:eastAsia="宋体"/>
          <w:color w:val="auto"/>
        </w:rPr>
        <w:t>授予合同</w:t>
      </w:r>
      <w:bookmarkEnd w:id="65"/>
    </w:p>
    <w:p>
      <w:pPr>
        <w:pStyle w:val="4"/>
        <w:widowControl w:val="0"/>
        <w:overflowPunct w:val="0"/>
        <w:spacing w:before="0" w:after="0" w:line="240" w:lineRule="auto"/>
        <w:rPr>
          <w:rFonts w:ascii="宋体" w:hAnsi="宋体" w:eastAsia="宋体"/>
          <w:color w:val="auto"/>
          <w:sz w:val="21"/>
          <w:szCs w:val="21"/>
        </w:rPr>
      </w:pPr>
      <w:bookmarkStart w:id="66" w:name="_Toc508284011"/>
      <w:bookmarkStart w:id="67" w:name="_Toc20214"/>
      <w:r>
        <w:rPr>
          <w:rFonts w:hint="eastAsia" w:ascii="宋体" w:hAnsi="宋体" w:eastAsia="宋体"/>
          <w:color w:val="auto"/>
          <w:sz w:val="21"/>
          <w:szCs w:val="21"/>
        </w:rPr>
        <w:t>29．</w:t>
      </w:r>
      <w:r>
        <w:rPr>
          <w:rFonts w:ascii="宋体" w:hAnsi="宋体" w:eastAsia="宋体"/>
          <w:color w:val="auto"/>
          <w:sz w:val="21"/>
          <w:szCs w:val="21"/>
        </w:rPr>
        <w:t>合同授予标准</w:t>
      </w:r>
      <w:bookmarkEnd w:id="66"/>
      <w:bookmarkEnd w:id="67"/>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根据评标委员会的评审结果，采购人按照评审报告推荐的中标候选人中按顺序依法确定中标人</w:t>
      </w:r>
      <w:r>
        <w:rPr>
          <w:rFonts w:ascii="宋体" w:hAnsi="宋体" w:eastAsia="宋体"/>
          <w:color w:val="auto"/>
          <w:sz w:val="21"/>
          <w:szCs w:val="21"/>
        </w:rPr>
        <w:t>。</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68" w:name="_Toc4372"/>
      <w:bookmarkStart w:id="69" w:name="_Toc508284013"/>
      <w:r>
        <w:rPr>
          <w:rFonts w:hint="eastAsia" w:ascii="宋体" w:hAnsi="宋体" w:eastAsia="宋体"/>
          <w:color w:val="auto"/>
          <w:sz w:val="21"/>
          <w:szCs w:val="21"/>
        </w:rPr>
        <w:t>30．发布中标结果</w:t>
      </w:r>
      <w:bookmarkEnd w:id="68"/>
      <w:bookmarkEnd w:id="69"/>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评标委员会提出评标书面报告和推荐中标意见报采购人确认后，采购代理机构将在指定的信息发布媒体上发布公告。</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中标公告期限为1个工作日。</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《中标通知书》是合同的一个组成部分，《中标通知书》对采购人和中标人均具有同等法律效力。</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中标人为残疾人福利性单位的，采购人或者其委托的采购代理机构应当随中标、成交结果同时公告其《残疾人福利性单位声明函》，接受社会监督。</w:t>
      </w:r>
    </w:p>
    <w:p>
      <w:pPr>
        <w:rPr>
          <w:color w:val="auto"/>
        </w:rPr>
      </w:pPr>
    </w:p>
    <w:p>
      <w:pPr>
        <w:pStyle w:val="4"/>
        <w:widowControl w:val="0"/>
        <w:overflowPunct w:val="0"/>
        <w:spacing w:before="0" w:after="0" w:line="240" w:lineRule="auto"/>
        <w:rPr>
          <w:rFonts w:ascii="宋体" w:hAnsi="宋体" w:eastAsia="宋体"/>
          <w:color w:val="auto"/>
          <w:sz w:val="21"/>
          <w:szCs w:val="21"/>
        </w:rPr>
      </w:pPr>
      <w:bookmarkStart w:id="70" w:name="_Toc27513"/>
      <w:r>
        <w:rPr>
          <w:rFonts w:hint="eastAsia" w:ascii="宋体" w:hAnsi="宋体" w:eastAsia="宋体"/>
          <w:color w:val="auto"/>
          <w:sz w:val="21"/>
          <w:szCs w:val="21"/>
        </w:rPr>
        <w:t>31.合同的签订与履行</w:t>
      </w:r>
      <w:bookmarkEnd w:id="70"/>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采购人与中标人应当根据合同的约定依法履行合同义务。</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政府采购合同的履行、违约责任和解决争议的方法等适用《中华人民共和国合同法》。</w:t>
      </w:r>
    </w:p>
    <w:p>
      <w:pPr>
        <w:widowControl w:val="0"/>
        <w:numPr>
          <w:ilvl w:val="1"/>
          <w:numId w:val="3"/>
        </w:numPr>
        <w:tabs>
          <w:tab w:val="left" w:pos="907"/>
        </w:tabs>
        <w:adjustRightInd/>
        <w:snapToGrid/>
        <w:spacing w:after="0" w:line="360" w:lineRule="exact"/>
        <w:jc w:val="both"/>
        <w:rPr>
          <w:rFonts w:ascii="宋体" w:hAnsi="宋体" w:eastAsia="宋体"/>
          <w:b/>
          <w:color w:val="auto"/>
          <w:sz w:val="21"/>
          <w:szCs w:val="21"/>
        </w:rPr>
      </w:pPr>
      <w:r>
        <w:rPr>
          <w:rFonts w:hint="eastAsia" w:ascii="宋体" w:hAnsi="宋体" w:eastAsia="宋体"/>
          <w:b/>
          <w:color w:val="auto"/>
          <w:sz w:val="21"/>
          <w:szCs w:val="21"/>
        </w:rPr>
        <w:t>合同签订之日起2个工作日内，中标人须将所签订的合同副本</w:t>
      </w:r>
      <w:r>
        <w:rPr>
          <w:rFonts w:hint="eastAsia" w:ascii="宋体" w:hAnsi="宋体" w:eastAsia="宋体"/>
          <w:b/>
          <w:color w:val="auto"/>
          <w:sz w:val="21"/>
          <w:szCs w:val="21"/>
          <w:lang w:eastAsia="zh-CN"/>
        </w:rPr>
        <w:t>（加盖公章）</w:t>
      </w:r>
      <w:r>
        <w:rPr>
          <w:rFonts w:hint="eastAsia" w:ascii="宋体" w:hAnsi="宋体" w:eastAsia="宋体"/>
          <w:b/>
          <w:color w:val="auto"/>
          <w:sz w:val="21"/>
          <w:szCs w:val="21"/>
        </w:rPr>
        <w:t>交至广东三方诚信招标有限公司东莞分公司归档。</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中标投标人在评审结束当天至合同履行结束，若因不可抗力的因素（如国家出台新法律法规等）造成投标人资质的变动，投标人应以纸质版</w:t>
      </w:r>
      <w:r>
        <w:rPr>
          <w:rFonts w:hint="eastAsia" w:ascii="宋体" w:hAnsi="宋体" w:eastAsia="宋体"/>
          <w:color w:val="auto"/>
          <w:sz w:val="21"/>
          <w:szCs w:val="21"/>
          <w:lang w:eastAsia="zh-CN"/>
        </w:rPr>
        <w:t>形式</w:t>
      </w:r>
      <w:r>
        <w:rPr>
          <w:rFonts w:hint="eastAsia" w:ascii="宋体" w:hAnsi="宋体" w:eastAsia="宋体"/>
          <w:color w:val="auto"/>
          <w:sz w:val="21"/>
          <w:szCs w:val="21"/>
        </w:rPr>
        <w:t>通知采购人。若资质变动导致中标投标人不再具备履行合同资质要求，采购人有权中止合同。</w:t>
      </w:r>
    </w:p>
    <w:p>
      <w:pPr>
        <w:rPr>
          <w:color w:val="auto"/>
        </w:rPr>
      </w:pPr>
    </w:p>
    <w:p>
      <w:pPr>
        <w:pStyle w:val="4"/>
        <w:widowControl w:val="0"/>
        <w:overflowPunct w:val="0"/>
        <w:spacing w:before="0" w:after="0" w:line="240" w:lineRule="auto"/>
        <w:rPr>
          <w:rFonts w:hint="eastAsia" w:ascii="宋体" w:hAnsi="宋体" w:eastAsia="宋体"/>
          <w:color w:val="auto"/>
          <w:sz w:val="21"/>
          <w:szCs w:val="21"/>
          <w:lang w:eastAsia="zh-CN"/>
        </w:rPr>
      </w:pPr>
      <w:bookmarkStart w:id="71" w:name="_Toc303084277"/>
      <w:bookmarkStart w:id="72" w:name="_Toc382049124"/>
      <w:bookmarkStart w:id="73" w:name="_Toc29009"/>
      <w:bookmarkStart w:id="74" w:name="_Toc15865"/>
      <w:r>
        <w:rPr>
          <w:rFonts w:hint="eastAsia" w:ascii="宋体" w:hAnsi="宋体" w:eastAsia="宋体"/>
          <w:color w:val="auto"/>
          <w:sz w:val="21"/>
          <w:szCs w:val="21"/>
        </w:rPr>
        <w:t>32.</w:t>
      </w:r>
      <w:r>
        <w:rPr>
          <w:rFonts w:ascii="宋体" w:hAnsi="宋体" w:eastAsia="宋体"/>
          <w:color w:val="auto"/>
          <w:sz w:val="21"/>
          <w:szCs w:val="21"/>
        </w:rPr>
        <w:t>履约</w:t>
      </w:r>
      <w:r>
        <w:rPr>
          <w:rFonts w:hint="eastAsia" w:ascii="宋体" w:hAnsi="宋体" w:eastAsia="宋体"/>
          <w:color w:val="auto"/>
          <w:sz w:val="21"/>
          <w:szCs w:val="21"/>
        </w:rPr>
        <w:t>保证金</w:t>
      </w:r>
      <w:bookmarkEnd w:id="71"/>
      <w:bookmarkEnd w:id="72"/>
      <w:bookmarkEnd w:id="73"/>
      <w:r>
        <w:rPr>
          <w:rFonts w:hint="eastAsia" w:ascii="宋体" w:hAnsi="宋体" w:eastAsia="宋体"/>
          <w:color w:val="auto"/>
          <w:sz w:val="21"/>
          <w:szCs w:val="21"/>
          <w:lang w:eastAsia="zh-CN"/>
        </w:rPr>
        <w:t>（如有需要）</w:t>
      </w:r>
      <w:bookmarkEnd w:id="74"/>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履约保证金可以采用下列任何一种形式：</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银行履约保函：应是合法经营的银行机构出具的银行保函，非东莞市范围内银行出具的履约保函必须附上当地公证部门出具的公证文件。履约保函的内容，应符合招标文件、投标响应文件和采购合同的要求。</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政府采购信用担保： 为进一步发挥政府采购政策功能作用，支持和促进中小企业发展，有效缓解企业资金短缺压力，依据广东省财政厅文件《关于进一步推进政府采购信用担保试点工作的通知》（粤财采购【</w:t>
      </w:r>
      <w:r>
        <w:rPr>
          <w:rFonts w:ascii="宋体" w:hAnsi="宋体" w:eastAsia="宋体"/>
          <w:color w:val="auto"/>
          <w:sz w:val="21"/>
          <w:szCs w:val="21"/>
        </w:rPr>
        <w:t>2013</w:t>
      </w:r>
      <w:r>
        <w:rPr>
          <w:rFonts w:hint="eastAsia" w:ascii="宋体" w:hAnsi="宋体" w:eastAsia="宋体"/>
          <w:color w:val="auto"/>
          <w:sz w:val="21"/>
          <w:szCs w:val="21"/>
        </w:rPr>
        <w:t>】</w:t>
      </w:r>
      <w:r>
        <w:rPr>
          <w:rFonts w:ascii="宋体" w:hAnsi="宋体" w:eastAsia="宋体"/>
          <w:color w:val="auto"/>
          <w:sz w:val="21"/>
          <w:szCs w:val="21"/>
        </w:rPr>
        <w:t>15</w:t>
      </w:r>
      <w:r>
        <w:rPr>
          <w:rFonts w:hint="eastAsia" w:ascii="宋体" w:hAnsi="宋体" w:eastAsia="宋体"/>
          <w:color w:val="auto"/>
          <w:sz w:val="21"/>
          <w:szCs w:val="21"/>
        </w:rPr>
        <w:t>号）和补充通知的文件精神以及《东莞市政府采购信用担保融资实施办法》（东财[2014]328）规定，各投标人可结合项目实际情况，前往与东莞市财政局签订合作框架的担保机构或金融机构进行融资贷款或信用担保。东莞市政府采购融资业务合作协议银行机构或担保机构名单联系方式，可在东莞市政府采购网上查询（网址</w:t>
      </w:r>
      <w:r>
        <w:rPr>
          <w:color w:val="auto"/>
        </w:rPr>
        <w:fldChar w:fldCharType="begin"/>
      </w:r>
      <w:r>
        <w:rPr>
          <w:color w:val="auto"/>
        </w:rPr>
        <w:instrText xml:space="preserve"> HYPERLINK "http://dggp.dg.gov.cn/" </w:instrText>
      </w:r>
      <w:r>
        <w:rPr>
          <w:color w:val="auto"/>
        </w:rPr>
        <w:fldChar w:fldCharType="separate"/>
      </w:r>
      <w:r>
        <w:rPr>
          <w:rFonts w:hint="eastAsia" w:ascii="宋体" w:hAnsi="宋体" w:eastAsia="宋体"/>
          <w:color w:val="auto"/>
          <w:sz w:val="21"/>
          <w:szCs w:val="21"/>
        </w:rPr>
        <w:t>http://dggp.dg.gov.cn/</w:t>
      </w:r>
      <w:r>
        <w:rPr>
          <w:rFonts w:hint="eastAsia" w:ascii="宋体" w:hAnsi="宋体" w:eastAsia="宋体"/>
          <w:color w:val="auto"/>
          <w:sz w:val="21"/>
          <w:szCs w:val="21"/>
        </w:rPr>
        <w:fldChar w:fldCharType="end"/>
      </w:r>
      <w:r>
        <w:rPr>
          <w:rFonts w:hint="eastAsia" w:ascii="宋体" w:hAnsi="宋体" w:eastAsia="宋体"/>
          <w:color w:val="auto"/>
          <w:sz w:val="21"/>
          <w:szCs w:val="21"/>
        </w:rPr>
        <w:t>）</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采用保证金（银行转帐、电汇）方式：中标人必须保证资金在签订合同前到帐。履约保证金账户采购人另行通知，到期后无息退还。</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履约保证金退回：履约保证金在项目验收合格后，中标人向采购人提交退回履约保证金的申请（格式可在东莞市政府采购网下载）、履约保证金汇款凭证复印件、采购合同、采购项目验收报告原件、中标通知书复印件，前往采购人办理履约保证金退还手续。</w:t>
      </w:r>
    </w:p>
    <w:p>
      <w:pPr>
        <w:rPr>
          <w:color w:val="auto"/>
        </w:rPr>
      </w:pPr>
    </w:p>
    <w:p>
      <w:pPr>
        <w:pStyle w:val="3"/>
        <w:numPr>
          <w:ilvl w:val="0"/>
          <w:numId w:val="2"/>
        </w:numPr>
        <w:jc w:val="center"/>
        <w:rPr>
          <w:rFonts w:ascii="宋体" w:hAnsi="宋体" w:eastAsia="宋体"/>
          <w:color w:val="auto"/>
        </w:rPr>
      </w:pPr>
      <w:bookmarkStart w:id="75" w:name="_Toc5532"/>
      <w:r>
        <w:rPr>
          <w:rFonts w:hint="eastAsia" w:ascii="宋体" w:hAnsi="宋体" w:eastAsia="宋体"/>
          <w:color w:val="auto"/>
        </w:rPr>
        <w:t>询问或质疑</w:t>
      </w:r>
      <w:bookmarkEnd w:id="75"/>
    </w:p>
    <w:p>
      <w:pPr>
        <w:pStyle w:val="4"/>
        <w:widowControl w:val="0"/>
        <w:overflowPunct w:val="0"/>
        <w:spacing w:before="0" w:after="0" w:line="240" w:lineRule="auto"/>
        <w:rPr>
          <w:rFonts w:ascii="宋体" w:hAnsi="宋体" w:eastAsia="宋体"/>
          <w:color w:val="auto"/>
          <w:sz w:val="21"/>
          <w:szCs w:val="21"/>
        </w:rPr>
      </w:pPr>
      <w:bookmarkStart w:id="76" w:name="_Toc1213"/>
      <w:r>
        <w:rPr>
          <w:rFonts w:hint="eastAsia" w:ascii="宋体" w:hAnsi="宋体" w:eastAsia="宋体"/>
          <w:color w:val="auto"/>
          <w:sz w:val="21"/>
          <w:szCs w:val="21"/>
        </w:rPr>
        <w:t>33.询问</w:t>
      </w:r>
      <w:bookmarkEnd w:id="76"/>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投标人对政府采购活动事项（</w:t>
      </w:r>
      <w:r>
        <w:rPr>
          <w:rFonts w:hint="eastAsia" w:ascii="宋体" w:hAnsi="宋体" w:eastAsia="宋体"/>
          <w:color w:val="auto"/>
          <w:sz w:val="21"/>
          <w:szCs w:val="21"/>
          <w:lang w:eastAsia="zh-CN"/>
        </w:rPr>
        <w:t>采购</w:t>
      </w:r>
      <w:r>
        <w:rPr>
          <w:rFonts w:hint="eastAsia" w:ascii="宋体" w:hAnsi="宋体" w:eastAsia="宋体"/>
          <w:color w:val="auto"/>
          <w:sz w:val="21"/>
          <w:szCs w:val="21"/>
        </w:rPr>
        <w:t>文件、采购过程和</w:t>
      </w:r>
      <w:r>
        <w:rPr>
          <w:rFonts w:hint="eastAsia" w:ascii="宋体" w:hAnsi="宋体" w:eastAsia="宋体"/>
          <w:color w:val="auto"/>
          <w:sz w:val="21"/>
          <w:szCs w:val="21"/>
          <w:lang w:eastAsia="zh-CN"/>
        </w:rPr>
        <w:t>采购</w:t>
      </w:r>
      <w:r>
        <w:rPr>
          <w:rFonts w:hint="eastAsia" w:ascii="宋体" w:hAnsi="宋体" w:eastAsia="宋体"/>
          <w:color w:val="auto"/>
          <w:sz w:val="21"/>
          <w:szCs w:val="21"/>
        </w:rPr>
        <w:t>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4"/>
        <w:widowControl w:val="0"/>
        <w:overflowPunct w:val="0"/>
        <w:spacing w:before="0" w:after="0" w:line="240" w:lineRule="auto"/>
        <w:rPr>
          <w:rFonts w:ascii="宋体" w:hAnsi="宋体" w:eastAsia="宋体"/>
          <w:color w:val="auto"/>
          <w:sz w:val="21"/>
          <w:szCs w:val="21"/>
        </w:rPr>
      </w:pPr>
      <w:bookmarkStart w:id="77" w:name="_Toc27372"/>
      <w:r>
        <w:rPr>
          <w:rFonts w:hint="eastAsia" w:ascii="宋体" w:hAnsi="宋体" w:eastAsia="宋体"/>
          <w:color w:val="auto"/>
          <w:sz w:val="21"/>
          <w:szCs w:val="21"/>
        </w:rPr>
        <w:t>34.质疑</w:t>
      </w:r>
      <w:bookmarkEnd w:id="77"/>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提出质疑的投标人应当是参与所质疑项目采购活动的供应商或是在规定的时间内已依法获取其可质疑的采购文件的潜在供应商。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投标人在法定质疑期内须一次性提出针对同一采购程序环节的质疑，对同一采购程序环节的二次质疑采购代理机构不予受理。</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将招标文件所规定的纸质版形式（质疑须提交以下资料并加盖投标人公章：质疑函原件、营业执照复印件、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投标人提出质疑应当提交质疑函和必要的证明材料（须注明法律依据），因缺少相关证明材料或是证明材料存在不真实而导致的后果由投标人自行承担。</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不涉及对投标人利益造成损害的相关内容，不能作为质疑内容提交。</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投诉人在全国范围12个月内三次以上投诉查无实据的，由财政部门列入不良行为记录名单。</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投诉人有下列行为之一的，属于虚假、恶意投诉，由财政部门列入不良行为记录名单，禁止其1至3年内参加政府采购活动：</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（一）捏造事实;</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（二）提供虚假材料;</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（三）以非法手段取得证明材料。证据来源的合法性存在明显疑问，投诉人无法证明其取得方式合法的，视为以非法手段取得证明材料。</w:t>
      </w: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以联合体形式参加政府采购活动的，其质疑应当由组成联合体的所有投标人共同提出。</w:t>
      </w:r>
    </w:p>
    <w:p>
      <w:pPr>
        <w:rPr>
          <w:color w:val="auto"/>
        </w:rPr>
      </w:pPr>
    </w:p>
    <w:p>
      <w:pPr>
        <w:pStyle w:val="3"/>
        <w:numPr>
          <w:ilvl w:val="0"/>
          <w:numId w:val="2"/>
        </w:numPr>
        <w:jc w:val="center"/>
        <w:rPr>
          <w:rFonts w:ascii="宋体" w:hAnsi="宋体" w:eastAsia="宋体"/>
          <w:color w:val="auto"/>
        </w:rPr>
      </w:pPr>
      <w:bookmarkStart w:id="78" w:name="_Toc7319"/>
      <w:r>
        <w:rPr>
          <w:rFonts w:hint="eastAsia" w:ascii="宋体" w:hAnsi="宋体" w:eastAsia="宋体"/>
          <w:color w:val="auto"/>
        </w:rPr>
        <w:t>其他</w:t>
      </w:r>
      <w:bookmarkEnd w:id="78"/>
    </w:p>
    <w:p>
      <w:pPr>
        <w:pStyle w:val="4"/>
        <w:widowControl w:val="0"/>
        <w:overflowPunct w:val="0"/>
        <w:spacing w:before="0" w:after="0" w:line="240" w:lineRule="auto"/>
        <w:rPr>
          <w:rFonts w:ascii="宋体" w:hAnsi="宋体" w:eastAsia="宋体"/>
          <w:color w:val="auto"/>
          <w:sz w:val="21"/>
          <w:szCs w:val="21"/>
        </w:rPr>
      </w:pPr>
      <w:bookmarkStart w:id="79" w:name="_Toc7713"/>
      <w:r>
        <w:rPr>
          <w:rFonts w:hint="eastAsia" w:ascii="宋体" w:hAnsi="宋体" w:eastAsia="宋体"/>
          <w:color w:val="auto"/>
          <w:sz w:val="21"/>
          <w:szCs w:val="21"/>
        </w:rPr>
        <w:t>35.招标文件的解释权</w:t>
      </w:r>
      <w:bookmarkEnd w:id="79"/>
    </w:p>
    <w:p>
      <w:pPr>
        <w:pStyle w:val="22"/>
        <w:widowControl w:val="0"/>
        <w:numPr>
          <w:ilvl w:val="0"/>
          <w:numId w:val="3"/>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3"/>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本采购文件是根据国家有关法律、法规以及政府采购管理有关规定和参照国际惯例编制，解释权属本采购代理机构。</w:t>
      </w:r>
    </w:p>
    <w:p>
      <w:pPr>
        <w:jc w:val="center"/>
        <w:rPr>
          <w:color w:val="auto"/>
        </w:rPr>
      </w:pPr>
    </w:p>
    <w:p>
      <w:pPr>
        <w:pStyle w:val="2"/>
        <w:jc w:val="center"/>
        <w:rPr>
          <w:rFonts w:hint="eastAsia"/>
          <w:color w:val="auto"/>
          <w:sz w:val="52"/>
          <w:szCs w:val="52"/>
        </w:rPr>
      </w:pPr>
      <w:r>
        <w:rPr>
          <w:rFonts w:hint="eastAsia"/>
          <w:color w:val="auto"/>
          <w:sz w:val="52"/>
          <w:szCs w:val="52"/>
        </w:rPr>
        <w:br w:type="page"/>
      </w: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rFonts w:hint="eastAsia"/>
          <w:color w:val="auto"/>
          <w:sz w:val="52"/>
          <w:szCs w:val="52"/>
        </w:rPr>
      </w:pPr>
    </w:p>
    <w:p>
      <w:pPr>
        <w:pStyle w:val="2"/>
        <w:jc w:val="center"/>
        <w:rPr>
          <w:color w:val="auto"/>
          <w:sz w:val="52"/>
          <w:szCs w:val="52"/>
        </w:rPr>
      </w:pPr>
      <w:bookmarkStart w:id="80" w:name="_Toc19539"/>
      <w:r>
        <w:rPr>
          <w:rFonts w:hint="eastAsia"/>
          <w:color w:val="auto"/>
          <w:sz w:val="52"/>
          <w:szCs w:val="52"/>
        </w:rPr>
        <w:t>第五部分 合同格式（仅供参考）</w:t>
      </w:r>
      <w:bookmarkEnd w:id="80"/>
    </w:p>
    <w:p>
      <w:pPr>
        <w:pStyle w:val="3"/>
        <w:ind w:left="720"/>
        <w:jc w:val="center"/>
        <w:rPr>
          <w:rFonts w:hint="eastAsia" w:ascii="宋体" w:hAnsi="宋体" w:eastAsia="宋体"/>
          <w:color w:val="auto"/>
        </w:rPr>
      </w:pPr>
      <w:r>
        <w:rPr>
          <w:rFonts w:hint="eastAsia" w:ascii="宋体" w:hAnsi="宋体" w:eastAsia="宋体"/>
          <w:color w:val="auto"/>
        </w:rPr>
        <w:br w:type="page"/>
      </w:r>
    </w:p>
    <w:p>
      <w:pPr>
        <w:autoSpaceDN w:val="0"/>
        <w:spacing w:after="0"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服务合同书</w:t>
      </w:r>
    </w:p>
    <w:p>
      <w:pPr>
        <w:autoSpaceDN w:val="0"/>
        <w:spacing w:after="0" w:line="360" w:lineRule="auto"/>
        <w:rPr>
          <w:rFonts w:ascii="宋体" w:hAnsi="宋体" w:eastAsia="宋体" w:cs="宋体"/>
          <w:color w:val="auto"/>
          <w:sz w:val="21"/>
          <w:szCs w:val="21"/>
        </w:rPr>
      </w:pP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甲方（客户方）：                                                 </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乙方（服务方）：   </w:t>
      </w:r>
    </w:p>
    <w:p>
      <w:pPr>
        <w:autoSpaceDN w:val="0"/>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甲乙双方本着相互信任，真诚合作的原则，经双方友好协商，就乙方为甲方提供特定服务达成一致意见，特签订本合同(包括本合同附件A)。                                              </w:t>
      </w:r>
    </w:p>
    <w:p>
      <w:pPr>
        <w:autoSpaceDN w:val="0"/>
        <w:spacing w:after="0" w:line="360" w:lineRule="auto"/>
        <w:rPr>
          <w:rFonts w:ascii="宋体" w:hAnsi="宋体" w:eastAsia="宋体" w:cs="宋体"/>
          <w:b/>
          <w:color w:val="auto"/>
          <w:sz w:val="21"/>
          <w:szCs w:val="21"/>
        </w:rPr>
      </w:pPr>
      <w:r>
        <w:rPr>
          <w:rFonts w:hint="eastAsia" w:ascii="宋体" w:hAnsi="宋体" w:eastAsia="宋体" w:cs="宋体"/>
          <w:b/>
          <w:color w:val="auto"/>
          <w:sz w:val="21"/>
          <w:szCs w:val="21"/>
        </w:rPr>
        <w:t>　　一、 服务内容</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1、乙方同意向甲方提供附于本合同并作为本合同一部分的附件A所列的特定服务。服务的内容、时限、衡量成果的</w:t>
      </w:r>
      <w:r>
        <w:rPr>
          <w:color w:val="auto"/>
        </w:rPr>
        <w:fldChar w:fldCharType="begin"/>
      </w:r>
      <w:r>
        <w:rPr>
          <w:color w:val="auto"/>
        </w:rPr>
        <w:instrText xml:space="preserve"> HYPERLINK "http://www.jianshe99.com/web/zhuanyeziliao/biaozhunguifan/" </w:instrText>
      </w:r>
      <w:r>
        <w:rPr>
          <w:color w:val="auto"/>
        </w:rPr>
        <w:fldChar w:fldCharType="separate"/>
      </w:r>
      <w:r>
        <w:rPr>
          <w:rFonts w:hint="eastAsia" w:ascii="宋体" w:hAnsi="宋体" w:eastAsia="宋体" w:cs="宋体"/>
          <w:color w:val="auto"/>
          <w:sz w:val="21"/>
          <w:szCs w:val="21"/>
        </w:rPr>
        <w:t>标准</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见附件A。 </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autoSpaceDN w:val="0"/>
        <w:spacing w:after="0"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rPr>
        <w:t>3、乙方的服务承诺：</w:t>
      </w:r>
    </w:p>
    <w:p>
      <w:pPr>
        <w:autoSpaceDN w:val="0"/>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 乙方接到甲方通过电话、信函传真、电子邮件、网上提交等方式提出关于附件A所列服务的请求后，在两个有效工作日内给予响应并提供服务。</w:t>
      </w:r>
    </w:p>
    <w:p>
      <w:pPr>
        <w:autoSpaceDN w:val="0"/>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2）乙方提供给甲方的服务，必须按照合同附件A规定的标准进行。</w:t>
      </w:r>
    </w:p>
    <w:p>
      <w:pPr>
        <w:autoSpaceDN w:val="0"/>
        <w:spacing w:after="0" w:line="360" w:lineRule="auto"/>
        <w:rPr>
          <w:rFonts w:ascii="宋体" w:hAnsi="宋体" w:eastAsia="宋体" w:cs="宋体"/>
          <w:b/>
          <w:color w:val="auto"/>
          <w:sz w:val="21"/>
          <w:szCs w:val="21"/>
        </w:rPr>
      </w:pPr>
      <w:r>
        <w:rPr>
          <w:rFonts w:hint="eastAsia" w:ascii="宋体" w:hAnsi="宋体" w:eastAsia="宋体" w:cs="宋体"/>
          <w:color w:val="auto"/>
          <w:sz w:val="21"/>
          <w:szCs w:val="21"/>
        </w:rPr>
        <w:t>　　</w:t>
      </w:r>
      <w:r>
        <w:rPr>
          <w:rFonts w:hint="eastAsia" w:ascii="宋体" w:hAnsi="宋体" w:eastAsia="宋体" w:cs="宋体"/>
          <w:b/>
          <w:color w:val="auto"/>
          <w:sz w:val="21"/>
          <w:szCs w:val="21"/>
        </w:rPr>
        <w:t>二、 服务费的支付</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1、服务费总金额为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人民币 (大写:     人民币元整)。</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2、本费用结构仅限於附件A中列明的工作。如果甲方要求扩大项目范围，或因甲方改变已经议定的项目内容导致乙方需重复进行项目步骤，乙方将需要重新评估上述费用结构。</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3、甲乙双方一致同意项目服务费按阶段以人民币形式支付。每阶段末，甲方将在验收确认该阶段服务完成合格，并且乙方发出该阶段工作的费用账单及正式有效的税务发票后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个工作日内，向乙方支付约定的费用。</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4、阶段付款的比例及时间约定如下：</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项目阶段 付款比例 付款时间</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第一阶段     %    </w:t>
      </w:r>
      <w:r>
        <w:rPr>
          <w:rFonts w:hint="eastAsia" w:ascii="宋体" w:hAnsi="宋体" w:eastAsia="宋体" w:cs="宋体"/>
          <w:color w:val="auto"/>
          <w:sz w:val="21"/>
          <w:szCs w:val="21"/>
          <w:u w:val="single"/>
        </w:rPr>
        <w:t>附件A所列之（ ）~（ ）</w:t>
      </w:r>
      <w:r>
        <w:rPr>
          <w:rFonts w:hint="eastAsia" w:ascii="宋体" w:hAnsi="宋体" w:eastAsia="宋体" w:cs="宋体"/>
          <w:color w:val="auto"/>
          <w:sz w:val="21"/>
          <w:szCs w:val="21"/>
        </w:rPr>
        <w:t>结束之后</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第二阶段     %    </w:t>
      </w:r>
      <w:r>
        <w:rPr>
          <w:rFonts w:hint="eastAsia" w:ascii="宋体" w:hAnsi="宋体" w:eastAsia="宋体" w:cs="宋体"/>
          <w:color w:val="auto"/>
          <w:sz w:val="21"/>
          <w:szCs w:val="21"/>
          <w:u w:val="single"/>
        </w:rPr>
        <w:t>附件A所列之（ ）~（ ）</w:t>
      </w:r>
      <w:r>
        <w:rPr>
          <w:rFonts w:hint="eastAsia" w:ascii="宋体" w:hAnsi="宋体" w:eastAsia="宋体" w:cs="宋体"/>
          <w:color w:val="auto"/>
          <w:sz w:val="21"/>
          <w:szCs w:val="21"/>
        </w:rPr>
        <w:t>结束之后</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第三阶段     %    附件A所列全部服务项目结束汇报之后</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5、 有关发票方面的任何问题，甲方应在收到发票后及时书面通知乙方，以便乙方及时作出解释或解决问题，以使甲方能按时付款。</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6、 乙方将自行承担项目实施范围内合理的差旅费用。</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7、 乙方同意免除项目杂费。</w:t>
      </w:r>
    </w:p>
    <w:p>
      <w:pPr>
        <w:autoSpaceDN w:val="0"/>
        <w:spacing w:after="0" w:line="360" w:lineRule="auto"/>
        <w:rPr>
          <w:rFonts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三、 服务的变更</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甲方可以提前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个工作日以书面形式要求变更或增加所提供的服务。该等变更最终应由双方互相商定认可，其中包括与该等变更有关的任何费用调整。</w:t>
      </w:r>
    </w:p>
    <w:p>
      <w:pPr>
        <w:autoSpaceDN w:val="0"/>
        <w:spacing w:after="0" w:line="360" w:lineRule="auto"/>
        <w:ind w:firstLine="422" w:firstLineChars="200"/>
        <w:rPr>
          <w:rFonts w:ascii="宋体" w:hAnsi="宋体" w:eastAsia="宋体" w:cs="宋体"/>
          <w:b/>
          <w:color w:val="auto"/>
          <w:sz w:val="21"/>
          <w:szCs w:val="21"/>
        </w:rPr>
      </w:pPr>
      <w:r>
        <w:rPr>
          <w:rFonts w:hint="eastAsia" w:ascii="宋体" w:hAnsi="宋体" w:eastAsia="宋体" w:cs="宋体"/>
          <w:b/>
          <w:color w:val="auto"/>
          <w:sz w:val="21"/>
          <w:szCs w:val="21"/>
        </w:rPr>
        <w:t>四、争议处理</w:t>
      </w:r>
    </w:p>
    <w:p>
      <w:pPr>
        <w:autoSpaceDN w:val="0"/>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甲乙双方如对协议条款规定的理解有异议，或者对与协议有关的事项发生争议，双方应本着友好合作的精神进行协商。协商不能解决的，任何一方可向上海仲裁委员会提起仲裁。</w:t>
      </w:r>
    </w:p>
    <w:p>
      <w:pPr>
        <w:autoSpaceDN w:val="0"/>
        <w:spacing w:after="0" w:line="360" w:lineRule="auto"/>
        <w:rPr>
          <w:rFonts w:ascii="宋体" w:hAnsi="宋体" w:eastAsia="宋体" w:cs="宋体"/>
          <w:b/>
          <w:color w:val="auto"/>
          <w:sz w:val="21"/>
          <w:szCs w:val="21"/>
        </w:rPr>
      </w:pPr>
      <w:r>
        <w:rPr>
          <w:rFonts w:hint="eastAsia" w:ascii="宋体" w:hAnsi="宋体" w:eastAsia="宋体" w:cs="宋体"/>
          <w:color w:val="auto"/>
          <w:sz w:val="21"/>
          <w:szCs w:val="21"/>
        </w:rPr>
        <w:t>　</w:t>
      </w:r>
      <w:r>
        <w:rPr>
          <w:rFonts w:hint="eastAsia" w:ascii="宋体" w:hAnsi="宋体" w:eastAsia="宋体" w:cs="宋体"/>
          <w:b/>
          <w:color w:val="auto"/>
          <w:sz w:val="21"/>
          <w:szCs w:val="21"/>
        </w:rPr>
        <w:t>　五、 其他</w:t>
      </w:r>
    </w:p>
    <w:p>
      <w:pPr>
        <w:autoSpaceDN w:val="0"/>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　　1、本合同中所用的标题仅为方便而设，而不影响对本合同的解释。</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2、附件A是本合同不可分割的组成部分，与本合同具有同等</w:t>
      </w:r>
      <w:r>
        <w:rPr>
          <w:color w:val="auto"/>
        </w:rPr>
        <w:fldChar w:fldCharType="begin"/>
      </w:r>
      <w:r>
        <w:rPr>
          <w:color w:val="auto"/>
        </w:rPr>
        <w:instrText xml:space="preserve"> HYPERLINK "http://www.jianshe99.com/web/fagui/" </w:instrText>
      </w:r>
      <w:r>
        <w:rPr>
          <w:color w:val="auto"/>
        </w:rPr>
        <w:fldChar w:fldCharType="separate"/>
      </w:r>
      <w:r>
        <w:rPr>
          <w:rFonts w:hint="eastAsia" w:ascii="宋体" w:hAnsi="宋体" w:eastAsia="宋体" w:cs="宋体"/>
          <w:color w:val="auto"/>
          <w:sz w:val="21"/>
          <w:szCs w:val="21"/>
        </w:rPr>
        <w:t>法律</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效力。</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3、本合同未尽事宜，由甲乙双方协商后产生书面文件，作为本合同的补充条款，具备与本合同同等法律效力。</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4、对本合同内容的任何修改和变更需要用书面形式，并经双方确认后生效。</w:t>
      </w:r>
    </w:p>
    <w:p>
      <w:pPr>
        <w:autoSpaceDN w:val="0"/>
        <w:spacing w:after="0" w:line="360" w:lineRule="auto"/>
        <w:ind w:firstLine="465"/>
        <w:rPr>
          <w:rFonts w:ascii="宋体" w:hAnsi="宋体" w:eastAsia="宋体" w:cs="宋体"/>
          <w:color w:val="auto"/>
          <w:sz w:val="21"/>
          <w:szCs w:val="21"/>
        </w:rPr>
      </w:pPr>
      <w:r>
        <w:rPr>
          <w:rFonts w:hint="eastAsia" w:ascii="宋体" w:hAnsi="宋体" w:eastAsia="宋体" w:cs="宋体"/>
          <w:color w:val="auto"/>
          <w:sz w:val="21"/>
          <w:szCs w:val="21"/>
        </w:rPr>
        <w:t>（以下无正文）</w:t>
      </w:r>
    </w:p>
    <w:p>
      <w:pPr>
        <w:spacing w:after="0" w:line="360" w:lineRule="auto"/>
        <w:ind w:left="444" w:leftChars="202"/>
        <w:rPr>
          <w:rFonts w:ascii="宋体" w:hAnsi="宋体" w:eastAsia="宋体" w:cs="宋体"/>
          <w:color w:val="auto"/>
          <w:sz w:val="21"/>
          <w:szCs w:val="21"/>
        </w:rPr>
      </w:pPr>
    </w:p>
    <w:p>
      <w:pPr>
        <w:spacing w:after="0" w:line="360" w:lineRule="auto"/>
        <w:ind w:left="444" w:leftChars="202"/>
        <w:rPr>
          <w:rFonts w:ascii="宋体" w:hAnsi="宋体" w:eastAsia="宋体" w:cs="宋体"/>
          <w:color w:val="auto"/>
          <w:sz w:val="21"/>
          <w:szCs w:val="21"/>
        </w:rPr>
      </w:pPr>
      <w:r>
        <w:rPr>
          <w:rFonts w:hint="eastAsia" w:ascii="宋体" w:hAnsi="宋体" w:eastAsia="宋体" w:cs="宋体"/>
          <w:color w:val="auto"/>
          <w:sz w:val="21"/>
          <w:szCs w:val="21"/>
        </w:rPr>
        <w:t>甲方（签章）                          乙方（签章）</w:t>
      </w:r>
    </w:p>
    <w:p>
      <w:pPr>
        <w:spacing w:after="0" w:line="360" w:lineRule="auto"/>
        <w:ind w:left="444" w:leftChars="202"/>
        <w:rPr>
          <w:rFonts w:ascii="宋体" w:hAnsi="宋体" w:eastAsia="宋体" w:cs="宋体"/>
          <w:color w:val="auto"/>
          <w:sz w:val="21"/>
          <w:szCs w:val="21"/>
        </w:rPr>
      </w:pPr>
      <w:r>
        <w:rPr>
          <w:rFonts w:hint="eastAsia" w:ascii="宋体" w:hAnsi="宋体" w:eastAsia="宋体" w:cs="宋体"/>
          <w:color w:val="auto"/>
          <w:sz w:val="21"/>
          <w:szCs w:val="21"/>
        </w:rPr>
        <w:t>代表签字：                            代表签字：</w:t>
      </w:r>
    </w:p>
    <w:p>
      <w:pPr>
        <w:spacing w:after="0" w:line="360" w:lineRule="auto"/>
        <w:ind w:left="444" w:leftChars="202"/>
        <w:rPr>
          <w:rFonts w:ascii="宋体" w:hAnsi="宋体" w:eastAsia="宋体" w:cs="宋体"/>
          <w:color w:val="auto"/>
          <w:sz w:val="21"/>
          <w:szCs w:val="21"/>
        </w:rPr>
      </w:pPr>
      <w:r>
        <w:rPr>
          <w:rFonts w:hint="eastAsia" w:ascii="宋体" w:hAnsi="宋体" w:eastAsia="宋体" w:cs="宋体"/>
          <w:color w:val="auto"/>
          <w:sz w:val="21"/>
          <w:szCs w:val="21"/>
        </w:rPr>
        <w:t>地点：                                地点：</w:t>
      </w:r>
    </w:p>
    <w:p>
      <w:pPr>
        <w:spacing w:after="0" w:line="360" w:lineRule="auto"/>
        <w:ind w:left="444" w:leftChars="202"/>
        <w:rPr>
          <w:rFonts w:ascii="宋体" w:hAnsi="宋体" w:eastAsia="宋体" w:cs="宋体"/>
          <w:color w:val="auto"/>
          <w:sz w:val="21"/>
          <w:szCs w:val="21"/>
        </w:rPr>
      </w:pPr>
      <w:r>
        <w:rPr>
          <w:rFonts w:hint="eastAsia" w:ascii="宋体" w:hAnsi="宋体" w:eastAsia="宋体" w:cs="宋体"/>
          <w:color w:val="auto"/>
          <w:sz w:val="21"/>
          <w:szCs w:val="21"/>
        </w:rPr>
        <w:t>日期：                                日期：</w:t>
      </w:r>
    </w:p>
    <w:p>
      <w:pPr>
        <w:spacing w:after="0" w:line="360" w:lineRule="auto"/>
        <w:ind w:left="444" w:leftChars="202"/>
        <w:rPr>
          <w:rFonts w:ascii="宋体" w:hAnsi="宋体" w:eastAsia="宋体" w:cs="宋体"/>
          <w:color w:val="auto"/>
          <w:sz w:val="21"/>
          <w:szCs w:val="21"/>
        </w:rPr>
      </w:pPr>
    </w:p>
    <w:p>
      <w:pPr>
        <w:spacing w:after="0" w:line="360" w:lineRule="auto"/>
        <w:ind w:left="444" w:leftChars="202"/>
        <w:rPr>
          <w:rFonts w:ascii="宋体" w:hAnsi="宋体" w:eastAsia="宋体" w:cs="宋体"/>
          <w:color w:val="auto"/>
          <w:sz w:val="21"/>
          <w:szCs w:val="21"/>
        </w:rPr>
      </w:pPr>
    </w:p>
    <w:p>
      <w:pPr>
        <w:spacing w:after="0" w:line="360" w:lineRule="auto"/>
        <w:ind w:left="444" w:leftChars="202"/>
        <w:rPr>
          <w:rFonts w:ascii="宋体" w:hAnsi="宋体" w:eastAsia="宋体" w:cs="宋体"/>
          <w:color w:val="auto"/>
          <w:sz w:val="21"/>
          <w:szCs w:val="21"/>
        </w:rPr>
      </w:pPr>
    </w:p>
    <w:p>
      <w:pPr>
        <w:spacing w:after="0" w:line="360" w:lineRule="auto"/>
        <w:ind w:left="444" w:leftChars="202"/>
        <w:rPr>
          <w:rFonts w:ascii="宋体" w:hAnsi="宋体" w:eastAsia="宋体" w:cs="宋体"/>
          <w:color w:val="auto"/>
          <w:sz w:val="21"/>
          <w:szCs w:val="21"/>
        </w:rPr>
      </w:pPr>
    </w:p>
    <w:p>
      <w:pPr>
        <w:spacing w:after="0" w:line="360" w:lineRule="auto"/>
        <w:ind w:left="444" w:leftChars="202"/>
        <w:rPr>
          <w:rFonts w:ascii="宋体" w:hAnsi="宋体" w:eastAsia="宋体" w:cs="宋体"/>
          <w:color w:val="auto"/>
          <w:sz w:val="21"/>
          <w:szCs w:val="21"/>
        </w:rPr>
      </w:pPr>
      <w:r>
        <w:rPr>
          <w:rFonts w:hint="eastAsia" w:ascii="宋体" w:hAnsi="宋体" w:eastAsia="宋体" w:cs="宋体"/>
          <w:color w:val="auto"/>
          <w:sz w:val="21"/>
          <w:szCs w:val="21"/>
        </w:rPr>
        <w:t>附件A</w:t>
      </w:r>
    </w:p>
    <w:tbl>
      <w:tblPr>
        <w:tblStyle w:val="18"/>
        <w:tblW w:w="8098"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2268"/>
        <w:gridCol w:w="2725"/>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2268"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服务内容</w:t>
            </w:r>
          </w:p>
        </w:tc>
        <w:tc>
          <w:tcPr>
            <w:tcW w:w="2725"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时限</w:t>
            </w:r>
          </w:p>
        </w:tc>
        <w:tc>
          <w:tcPr>
            <w:tcW w:w="2003"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完成标准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1</w:t>
            </w:r>
          </w:p>
        </w:tc>
        <w:tc>
          <w:tcPr>
            <w:tcW w:w="2268" w:type="dxa"/>
          </w:tcPr>
          <w:p>
            <w:pPr>
              <w:spacing w:after="0" w:line="360" w:lineRule="auto"/>
              <w:rPr>
                <w:rFonts w:ascii="宋体" w:hAnsi="宋体" w:eastAsia="宋体" w:cs="宋体"/>
                <w:color w:val="auto"/>
                <w:sz w:val="21"/>
                <w:szCs w:val="21"/>
              </w:rPr>
            </w:pPr>
          </w:p>
        </w:tc>
        <w:tc>
          <w:tcPr>
            <w:tcW w:w="2725" w:type="dxa"/>
          </w:tcPr>
          <w:p>
            <w:pPr>
              <w:spacing w:after="0" w:line="360" w:lineRule="auto"/>
              <w:rPr>
                <w:rFonts w:ascii="宋体" w:hAnsi="宋体" w:eastAsia="宋体" w:cs="宋体"/>
                <w:color w:val="auto"/>
                <w:sz w:val="21"/>
                <w:szCs w:val="21"/>
              </w:rPr>
            </w:pPr>
          </w:p>
        </w:tc>
        <w:tc>
          <w:tcPr>
            <w:tcW w:w="2003" w:type="dxa"/>
          </w:tcPr>
          <w:p>
            <w:pPr>
              <w:spacing w:after="0" w:line="360" w:lineRule="auto"/>
              <w:rPr>
                <w:rFonts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2</w:t>
            </w:r>
          </w:p>
        </w:tc>
        <w:tc>
          <w:tcPr>
            <w:tcW w:w="2268" w:type="dxa"/>
          </w:tcPr>
          <w:p>
            <w:pPr>
              <w:spacing w:after="0" w:line="360" w:lineRule="auto"/>
              <w:rPr>
                <w:rFonts w:ascii="宋体" w:hAnsi="宋体" w:eastAsia="宋体" w:cs="宋体"/>
                <w:color w:val="auto"/>
                <w:sz w:val="21"/>
                <w:szCs w:val="21"/>
              </w:rPr>
            </w:pPr>
          </w:p>
        </w:tc>
        <w:tc>
          <w:tcPr>
            <w:tcW w:w="2725" w:type="dxa"/>
          </w:tcPr>
          <w:p>
            <w:pPr>
              <w:spacing w:after="0" w:line="360" w:lineRule="auto"/>
              <w:rPr>
                <w:rFonts w:ascii="宋体" w:hAnsi="宋体" w:eastAsia="宋体" w:cs="宋体"/>
                <w:color w:val="auto"/>
                <w:sz w:val="21"/>
                <w:szCs w:val="21"/>
              </w:rPr>
            </w:pPr>
          </w:p>
        </w:tc>
        <w:tc>
          <w:tcPr>
            <w:tcW w:w="2003" w:type="dxa"/>
          </w:tcPr>
          <w:p>
            <w:pPr>
              <w:spacing w:after="0" w:line="360" w:lineRule="auto"/>
              <w:rPr>
                <w:rFonts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3</w:t>
            </w:r>
          </w:p>
        </w:tc>
        <w:tc>
          <w:tcPr>
            <w:tcW w:w="2268" w:type="dxa"/>
          </w:tcPr>
          <w:p>
            <w:pPr>
              <w:spacing w:after="0" w:line="360" w:lineRule="auto"/>
              <w:rPr>
                <w:rFonts w:ascii="宋体" w:hAnsi="宋体" w:eastAsia="宋体" w:cs="宋体"/>
                <w:color w:val="auto"/>
                <w:sz w:val="21"/>
                <w:szCs w:val="21"/>
              </w:rPr>
            </w:pPr>
          </w:p>
        </w:tc>
        <w:tc>
          <w:tcPr>
            <w:tcW w:w="2725" w:type="dxa"/>
          </w:tcPr>
          <w:p>
            <w:pPr>
              <w:spacing w:after="0" w:line="360" w:lineRule="auto"/>
              <w:rPr>
                <w:rFonts w:ascii="宋体" w:hAnsi="宋体" w:eastAsia="宋体" w:cs="宋体"/>
                <w:color w:val="auto"/>
                <w:sz w:val="21"/>
                <w:szCs w:val="21"/>
              </w:rPr>
            </w:pPr>
          </w:p>
        </w:tc>
        <w:tc>
          <w:tcPr>
            <w:tcW w:w="2003" w:type="dxa"/>
          </w:tcPr>
          <w:p>
            <w:pPr>
              <w:spacing w:after="0" w:line="360" w:lineRule="auto"/>
              <w:rPr>
                <w:rFonts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2" w:type="dxa"/>
          </w:tcPr>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4</w:t>
            </w:r>
          </w:p>
        </w:tc>
        <w:tc>
          <w:tcPr>
            <w:tcW w:w="2268" w:type="dxa"/>
          </w:tcPr>
          <w:p>
            <w:pPr>
              <w:spacing w:after="0" w:line="360" w:lineRule="auto"/>
              <w:rPr>
                <w:rFonts w:ascii="宋体" w:hAnsi="宋体" w:eastAsia="宋体" w:cs="宋体"/>
                <w:color w:val="auto"/>
                <w:sz w:val="21"/>
                <w:szCs w:val="21"/>
              </w:rPr>
            </w:pPr>
          </w:p>
        </w:tc>
        <w:tc>
          <w:tcPr>
            <w:tcW w:w="2725" w:type="dxa"/>
          </w:tcPr>
          <w:p>
            <w:pPr>
              <w:spacing w:after="0" w:line="360" w:lineRule="auto"/>
              <w:rPr>
                <w:rFonts w:ascii="宋体" w:hAnsi="宋体" w:eastAsia="宋体" w:cs="宋体"/>
                <w:color w:val="auto"/>
                <w:sz w:val="21"/>
                <w:szCs w:val="21"/>
              </w:rPr>
            </w:pPr>
          </w:p>
        </w:tc>
        <w:tc>
          <w:tcPr>
            <w:tcW w:w="2003" w:type="dxa"/>
          </w:tcPr>
          <w:p>
            <w:pPr>
              <w:spacing w:after="0" w:line="360" w:lineRule="auto"/>
              <w:rPr>
                <w:rFonts w:ascii="宋体" w:hAnsi="宋体" w:eastAsia="宋体" w:cs="宋体"/>
                <w:color w:val="auto"/>
                <w:sz w:val="21"/>
                <w:szCs w:val="21"/>
              </w:rPr>
            </w:pPr>
          </w:p>
        </w:tc>
      </w:tr>
    </w:tbl>
    <w:p>
      <w:pPr>
        <w:rPr>
          <w:rFonts w:ascii="宋体" w:hAnsi="宋体" w:eastAsia="宋体"/>
          <w:b/>
          <w:color w:val="auto"/>
          <w:sz w:val="21"/>
          <w:szCs w:val="21"/>
        </w:rPr>
      </w:pPr>
    </w:p>
    <w:p>
      <w:pPr>
        <w:rPr>
          <w:rFonts w:ascii="宋体" w:hAnsi="宋体" w:eastAsia="宋体"/>
          <w:b/>
          <w:color w:val="auto"/>
          <w:sz w:val="21"/>
          <w:szCs w:val="21"/>
        </w:rPr>
      </w:pPr>
      <w:r>
        <w:rPr>
          <w:rFonts w:hint="eastAsia" w:ascii="宋体" w:hAnsi="宋体" w:eastAsia="宋体"/>
          <w:b/>
          <w:color w:val="auto"/>
          <w:sz w:val="21"/>
          <w:szCs w:val="21"/>
        </w:rPr>
        <w:t>此仅为合同书样本，中标人需根据实际情况和甲方签订相应的合同！</w:t>
      </w:r>
    </w:p>
    <w:p>
      <w:pPr>
        <w:jc w:val="center"/>
        <w:rPr>
          <w:color w:val="auto"/>
        </w:rPr>
      </w:pPr>
    </w:p>
    <w:p>
      <w:pPr>
        <w:jc w:val="center"/>
        <w:rPr>
          <w:color w:val="auto"/>
        </w:rPr>
      </w:pPr>
    </w:p>
    <w:p>
      <w:pPr>
        <w:jc w:val="center"/>
        <w:rPr>
          <w:color w:val="auto"/>
        </w:rPr>
      </w:pPr>
      <w:r>
        <w:rPr>
          <w:color w:val="auto"/>
        </w:rPr>
        <w:br w:type="page"/>
      </w:r>
    </w:p>
    <w:p>
      <w:pPr>
        <w:jc w:val="center"/>
        <w:rPr>
          <w:color w:val="auto"/>
        </w:rPr>
      </w:pPr>
    </w:p>
    <w:p>
      <w:pPr>
        <w:jc w:val="center"/>
        <w:rPr>
          <w:color w:val="auto"/>
        </w:rPr>
      </w:pPr>
    </w:p>
    <w:p>
      <w:pPr>
        <w:jc w:val="center"/>
        <w:rPr>
          <w:color w:val="auto"/>
        </w:rPr>
      </w:pPr>
    </w:p>
    <w:p>
      <w:pPr>
        <w:jc w:val="both"/>
        <w:rPr>
          <w:color w:val="auto"/>
        </w:rPr>
      </w:pPr>
    </w:p>
    <w:p>
      <w:pPr>
        <w:jc w:val="center"/>
        <w:rPr>
          <w:color w:val="auto"/>
        </w:rPr>
      </w:pPr>
    </w:p>
    <w:p>
      <w:pPr>
        <w:jc w:val="center"/>
        <w:rPr>
          <w:color w:val="auto"/>
        </w:rPr>
      </w:pPr>
    </w:p>
    <w:p>
      <w:pPr>
        <w:jc w:val="center"/>
        <w:rPr>
          <w:color w:val="auto"/>
        </w:rPr>
      </w:pPr>
    </w:p>
    <w:p>
      <w:pPr>
        <w:jc w:val="center"/>
        <w:rPr>
          <w:color w:val="auto"/>
        </w:rPr>
      </w:pPr>
    </w:p>
    <w:p>
      <w:pPr>
        <w:jc w:val="center"/>
        <w:rPr>
          <w:color w:val="auto"/>
        </w:rPr>
      </w:pPr>
    </w:p>
    <w:p>
      <w:pPr>
        <w:pStyle w:val="2"/>
        <w:jc w:val="center"/>
        <w:rPr>
          <w:color w:val="auto"/>
          <w:sz w:val="52"/>
          <w:szCs w:val="52"/>
        </w:rPr>
      </w:pPr>
      <w:bookmarkStart w:id="81" w:name="_Toc13864"/>
      <w:r>
        <w:rPr>
          <w:rFonts w:hint="eastAsia"/>
          <w:color w:val="auto"/>
          <w:sz w:val="52"/>
          <w:szCs w:val="52"/>
        </w:rPr>
        <w:t>第六部分    附件－投标文件格式</w:t>
      </w:r>
      <w:bookmarkEnd w:id="81"/>
    </w:p>
    <w:p>
      <w:pPr>
        <w:pStyle w:val="4"/>
        <w:widowControl w:val="0"/>
        <w:overflowPunct w:val="0"/>
        <w:spacing w:before="0" w:after="0" w:line="240" w:lineRule="auto"/>
        <w:rPr>
          <w:rFonts w:hint="eastAsia" w:ascii="宋体" w:hAnsi="宋体" w:eastAsia="宋体"/>
          <w:color w:val="auto"/>
          <w:sz w:val="21"/>
          <w:szCs w:val="21"/>
        </w:rPr>
      </w:pPr>
      <w:r>
        <w:rPr>
          <w:rFonts w:hint="eastAsia"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82" w:name="_Toc20569"/>
      <w:r>
        <w:rPr>
          <w:rFonts w:hint="eastAsia" w:ascii="宋体" w:hAnsi="宋体" w:eastAsia="宋体"/>
          <w:color w:val="auto"/>
          <w:sz w:val="21"/>
          <w:szCs w:val="21"/>
        </w:rPr>
        <w:t>附件1.投标文件目录</w:t>
      </w:r>
      <w:bookmarkEnd w:id="82"/>
    </w:p>
    <w:p>
      <w:pPr>
        <w:jc w:val="center"/>
        <w:rPr>
          <w:rFonts w:ascii="黑体" w:eastAsia="黑体"/>
          <w:color w:val="auto"/>
          <w:sz w:val="32"/>
          <w:szCs w:val="32"/>
        </w:rPr>
      </w:pPr>
    </w:p>
    <w:p>
      <w:pPr>
        <w:jc w:val="center"/>
        <w:rPr>
          <w:rFonts w:ascii="黑体" w:eastAsia="黑体"/>
          <w:color w:val="auto"/>
          <w:sz w:val="32"/>
          <w:szCs w:val="32"/>
        </w:rPr>
      </w:pPr>
      <w:r>
        <w:rPr>
          <w:rFonts w:hint="eastAsia" w:ascii="黑体" w:eastAsia="黑体"/>
          <w:color w:val="auto"/>
          <w:sz w:val="32"/>
          <w:szCs w:val="32"/>
        </w:rPr>
        <w:t>目录</w:t>
      </w: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格式自理。</w:t>
      </w: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注：</w:t>
      </w: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1、投标人制作的投标文件应当具备目录。</w:t>
      </w:r>
      <w:r>
        <w:rPr>
          <w:rFonts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83" w:name="_Toc31528"/>
      <w:r>
        <w:rPr>
          <w:rFonts w:hint="eastAsia" w:ascii="宋体" w:hAnsi="宋体" w:eastAsia="宋体"/>
          <w:color w:val="auto"/>
          <w:sz w:val="21"/>
          <w:szCs w:val="21"/>
        </w:rPr>
        <w:t>附件1-1 评分标准索引表</w:t>
      </w:r>
      <w:bookmarkEnd w:id="83"/>
    </w:p>
    <w:p>
      <w:pPr>
        <w:adjustRightInd/>
        <w:snapToGrid/>
        <w:spacing w:line="276" w:lineRule="auto"/>
        <w:rPr>
          <w:rFonts w:ascii="宋体" w:hAnsi="宋体" w:eastAsia="宋体"/>
          <w:color w:val="auto"/>
          <w:sz w:val="21"/>
          <w:szCs w:val="21"/>
        </w:rPr>
      </w:pPr>
    </w:p>
    <w:p>
      <w:pPr>
        <w:jc w:val="center"/>
        <w:rPr>
          <w:rFonts w:ascii="黑体" w:eastAsia="黑体"/>
          <w:color w:val="auto"/>
          <w:sz w:val="32"/>
          <w:szCs w:val="32"/>
        </w:rPr>
      </w:pPr>
      <w:r>
        <w:rPr>
          <w:rFonts w:hint="eastAsia" w:ascii="黑体" w:eastAsia="黑体"/>
          <w:color w:val="auto"/>
          <w:sz w:val="32"/>
          <w:szCs w:val="32"/>
        </w:rPr>
        <w:t>评分标准索引表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spacing w:after="0"/>
              <w:jc w:val="center"/>
              <w:rPr>
                <w:color w:val="auto"/>
              </w:rPr>
            </w:pPr>
            <w:r>
              <w:rPr>
                <w:rFonts w:hint="eastAsia"/>
                <w:color w:val="auto"/>
              </w:rPr>
              <w:t>序号</w:t>
            </w:r>
          </w:p>
        </w:tc>
        <w:tc>
          <w:tcPr>
            <w:tcW w:w="1704" w:type="dxa"/>
            <w:vAlign w:val="center"/>
          </w:tcPr>
          <w:p>
            <w:pPr>
              <w:spacing w:after="0"/>
              <w:jc w:val="center"/>
              <w:rPr>
                <w:color w:val="auto"/>
              </w:rPr>
            </w:pPr>
            <w:r>
              <w:rPr>
                <w:rFonts w:hint="eastAsia"/>
                <w:color w:val="auto"/>
              </w:rPr>
              <w:t>评审项目</w:t>
            </w:r>
          </w:p>
        </w:tc>
        <w:tc>
          <w:tcPr>
            <w:tcW w:w="1704" w:type="dxa"/>
            <w:vAlign w:val="center"/>
          </w:tcPr>
          <w:p>
            <w:pPr>
              <w:spacing w:after="0"/>
              <w:jc w:val="center"/>
              <w:rPr>
                <w:color w:val="auto"/>
              </w:rPr>
            </w:pPr>
            <w:r>
              <w:rPr>
                <w:rFonts w:hint="eastAsia"/>
                <w:color w:val="auto"/>
              </w:rPr>
              <w:t>评分细则</w:t>
            </w:r>
          </w:p>
        </w:tc>
        <w:tc>
          <w:tcPr>
            <w:tcW w:w="1705" w:type="dxa"/>
            <w:vAlign w:val="center"/>
          </w:tcPr>
          <w:p>
            <w:pPr>
              <w:spacing w:after="0"/>
              <w:jc w:val="center"/>
              <w:rPr>
                <w:color w:val="auto"/>
              </w:rPr>
            </w:pPr>
            <w:r>
              <w:rPr>
                <w:rFonts w:hint="eastAsia"/>
                <w:color w:val="auto"/>
              </w:rPr>
              <w:t>分值</w:t>
            </w:r>
          </w:p>
        </w:tc>
        <w:tc>
          <w:tcPr>
            <w:tcW w:w="1705" w:type="dxa"/>
            <w:vAlign w:val="center"/>
          </w:tcPr>
          <w:p>
            <w:pPr>
              <w:spacing w:after="0"/>
              <w:jc w:val="center"/>
              <w:rPr>
                <w:color w:val="auto"/>
              </w:rPr>
            </w:pPr>
            <w:r>
              <w:rPr>
                <w:rFonts w:hint="eastAsia"/>
                <w:color w:val="auto"/>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pacing w:after="0"/>
              <w:rPr>
                <w:color w:val="auto"/>
              </w:rPr>
            </w:pPr>
            <w:r>
              <w:rPr>
                <w:rFonts w:hint="eastAsia"/>
                <w:color w:val="auto"/>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pacing w:after="0"/>
              <w:rPr>
                <w:color w:val="auto"/>
              </w:rPr>
            </w:pPr>
            <w:r>
              <w:rPr>
                <w:rFonts w:hint="eastAsia"/>
                <w:color w:val="auto"/>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4" w:type="dxa"/>
            <w:vAlign w:val="center"/>
          </w:tcPr>
          <w:p>
            <w:pPr>
              <w:spacing w:after="0"/>
              <w:jc w:val="center"/>
              <w:rPr>
                <w:color w:val="auto"/>
              </w:rPr>
            </w:pPr>
          </w:p>
        </w:tc>
        <w:tc>
          <w:tcPr>
            <w:tcW w:w="1705" w:type="dxa"/>
            <w:vAlign w:val="center"/>
          </w:tcPr>
          <w:p>
            <w:pPr>
              <w:spacing w:after="0"/>
              <w:jc w:val="center"/>
              <w:rPr>
                <w:color w:val="auto"/>
              </w:rPr>
            </w:pPr>
          </w:p>
        </w:tc>
        <w:tc>
          <w:tcPr>
            <w:tcW w:w="1705" w:type="dxa"/>
            <w:vAlign w:val="center"/>
          </w:tcPr>
          <w:p>
            <w:pPr>
              <w:spacing w:after="0"/>
              <w:jc w:val="center"/>
              <w:rPr>
                <w:color w:val="auto"/>
              </w:rPr>
            </w:pPr>
          </w:p>
        </w:tc>
      </w:tr>
    </w:tbl>
    <w:p>
      <w:pPr>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注：</w:t>
      </w:r>
    </w:p>
    <w:p>
      <w:pPr>
        <w:rPr>
          <w:rFonts w:ascii="宋体" w:hAnsi="宋体" w:eastAsia="宋体"/>
          <w:color w:val="auto"/>
          <w:sz w:val="21"/>
          <w:szCs w:val="21"/>
        </w:rPr>
      </w:pPr>
      <w:r>
        <w:rPr>
          <w:rFonts w:hint="eastAsia" w:ascii="宋体" w:hAnsi="宋体" w:eastAsia="宋体"/>
          <w:color w:val="auto"/>
          <w:sz w:val="21"/>
          <w:szCs w:val="21"/>
        </w:rPr>
        <w:t>1、该表格为参考格式，投标人可按实际情况自行制订评分标准索引表。</w:t>
      </w: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r>
        <w:rPr>
          <w:rFonts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84" w:name="_Toc25159"/>
      <w:r>
        <w:rPr>
          <w:rFonts w:hint="eastAsia" w:ascii="宋体" w:hAnsi="宋体" w:eastAsia="宋体"/>
          <w:color w:val="auto"/>
          <w:sz w:val="21"/>
          <w:szCs w:val="21"/>
        </w:rPr>
        <w:t>附件2：投标书格式</w:t>
      </w:r>
      <w:bookmarkEnd w:id="84"/>
    </w:p>
    <w:p>
      <w:pPr>
        <w:jc w:val="center"/>
        <w:rPr>
          <w:color w:val="auto"/>
        </w:rPr>
      </w:pPr>
      <w:r>
        <w:rPr>
          <w:rFonts w:hint="eastAsia" w:ascii="黑体" w:eastAsia="黑体"/>
          <w:color w:val="auto"/>
          <w:sz w:val="32"/>
          <w:szCs w:val="32"/>
        </w:rPr>
        <w:t>投标书</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致：广东三方诚信招标有限公司</w:t>
      </w:r>
    </w:p>
    <w:p>
      <w:pPr>
        <w:spacing w:after="0" w:line="360" w:lineRule="auto"/>
        <w:rPr>
          <w:rFonts w:ascii="宋体" w:hAnsi="宋体" w:eastAsia="宋体"/>
          <w:color w:val="auto"/>
          <w:sz w:val="21"/>
          <w:szCs w:val="21"/>
        </w:rPr>
      </w:pP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根据贵方为</w:t>
      </w:r>
      <w:r>
        <w:rPr>
          <w:rFonts w:hint="eastAsia" w:ascii="宋体" w:hAnsi="宋体" w:eastAsia="宋体"/>
          <w:color w:val="auto"/>
          <w:sz w:val="21"/>
          <w:szCs w:val="21"/>
          <w:u w:val="single"/>
        </w:rPr>
        <w:t>（项目名称）（招标编号）</w:t>
      </w:r>
      <w:r>
        <w:rPr>
          <w:rFonts w:hint="eastAsia" w:ascii="宋体" w:hAnsi="宋体" w:eastAsia="宋体"/>
          <w:color w:val="auto"/>
          <w:sz w:val="21"/>
          <w:szCs w:val="21"/>
        </w:rPr>
        <w:t>项目招标公告/招标邀请，签字代表</w:t>
      </w:r>
      <w:r>
        <w:rPr>
          <w:rFonts w:hint="eastAsia" w:ascii="宋体" w:hAnsi="宋体" w:eastAsia="宋体"/>
          <w:color w:val="auto"/>
          <w:sz w:val="21"/>
          <w:szCs w:val="21"/>
          <w:u w:val="single"/>
        </w:rPr>
        <w:t>（姓名、职务）</w:t>
      </w:r>
      <w:r>
        <w:rPr>
          <w:rFonts w:hint="eastAsia" w:ascii="宋体" w:hAnsi="宋体" w:eastAsia="宋体"/>
          <w:color w:val="auto"/>
          <w:sz w:val="21"/>
          <w:szCs w:val="21"/>
        </w:rPr>
        <w:t>经正式授权并代表投标人</w:t>
      </w:r>
      <w:r>
        <w:rPr>
          <w:rFonts w:hint="eastAsia" w:ascii="宋体" w:hAnsi="宋体" w:eastAsia="宋体"/>
          <w:color w:val="auto"/>
          <w:sz w:val="21"/>
          <w:szCs w:val="21"/>
          <w:u w:val="single"/>
        </w:rPr>
        <w:t>（投标人名称、地址）</w:t>
      </w:r>
      <w:r>
        <w:rPr>
          <w:rFonts w:hint="eastAsia" w:ascii="宋体" w:hAnsi="宋体" w:eastAsia="宋体"/>
          <w:color w:val="auto"/>
          <w:sz w:val="21"/>
          <w:szCs w:val="21"/>
        </w:rPr>
        <w:t>提交投标文件及“开标文件”：</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在此，签字代表宣布同意如下： </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 xml:space="preserve">我方将按招标文件的规定履行合同责任和义务。 </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b/>
          <w:color w:val="auto"/>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rPr>
        <w:t xml:space="preserve"> </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本投标有效期为自开标日起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个日历日。 </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我方保证遵守投标人须知中关于没收投标保证金的规定。</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 xml:space="preserve">我方承诺，与买方聘请的为此项目提供咨询服务的公司及任何附属机构均无关联，我方不是买方的附属机构。 </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承诺，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我方同意提供按照贵方可能要求的与其投标有关的一切数据或资料。</w:t>
      </w:r>
    </w:p>
    <w:p>
      <w:pPr>
        <w:widowControl w:val="0"/>
        <w:numPr>
          <w:ilvl w:val="0"/>
          <w:numId w:val="6"/>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与本投标有关的一切正式信函请寄：</w:t>
      </w:r>
    </w:p>
    <w:p>
      <w:pPr>
        <w:spacing w:after="0" w:line="360" w:lineRule="auto"/>
        <w:ind w:firstLine="718" w:firstLineChars="342"/>
        <w:rPr>
          <w:rFonts w:ascii="宋体" w:hAnsi="宋体" w:eastAsia="宋体"/>
          <w:color w:val="auto"/>
          <w:sz w:val="21"/>
          <w:szCs w:val="21"/>
        </w:rPr>
      </w:pP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地址：　　　　　　　　　　　　　　　　　　　传真：</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电话/移动电话：　　　　　　　　　　　　　　　电子函件：</w:t>
      </w:r>
    </w:p>
    <w:p>
      <w:pPr>
        <w:spacing w:after="0" w:line="360" w:lineRule="auto"/>
        <w:ind w:firstLine="718" w:firstLineChars="342"/>
        <w:rPr>
          <w:rFonts w:ascii="宋体" w:hAnsi="宋体" w:eastAsia="宋体"/>
          <w:color w:val="auto"/>
          <w:sz w:val="21"/>
          <w:szCs w:val="21"/>
        </w:rPr>
      </w:pP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 xml:space="preserve">投标人代表签字： </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 xml:space="preserve">投标人名称（全称）： </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 xml:space="preserve">投标人盖章： </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投标人开户银行（全称）：</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投标人银行帐号：</w:t>
      </w:r>
    </w:p>
    <w:p>
      <w:pPr>
        <w:spacing w:after="0" w:line="360" w:lineRule="auto"/>
        <w:ind w:firstLine="718" w:firstLineChars="342"/>
        <w:rPr>
          <w:rFonts w:ascii="宋体" w:hAnsi="宋体" w:eastAsia="宋体"/>
          <w:color w:val="auto"/>
          <w:sz w:val="21"/>
          <w:szCs w:val="21"/>
        </w:rPr>
      </w:pPr>
      <w:r>
        <w:rPr>
          <w:rFonts w:hint="eastAsia" w:ascii="宋体" w:hAnsi="宋体" w:eastAsia="宋体"/>
          <w:color w:val="auto"/>
          <w:sz w:val="21"/>
          <w:szCs w:val="21"/>
        </w:rPr>
        <w:t xml:space="preserve">日期： </w:t>
      </w:r>
    </w:p>
    <w:p>
      <w:pPr>
        <w:pStyle w:val="4"/>
        <w:widowControl w:val="0"/>
        <w:overflowPunct w:val="0"/>
        <w:spacing w:before="0" w:after="0" w:line="240" w:lineRule="auto"/>
        <w:rPr>
          <w:rFonts w:ascii="宋体" w:hAnsi="宋体" w:eastAsia="宋体"/>
          <w:color w:val="auto"/>
          <w:sz w:val="21"/>
          <w:szCs w:val="21"/>
        </w:rPr>
      </w:pPr>
      <w:bookmarkStart w:id="85" w:name="_Toc15156"/>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.开标一览表格式</w:t>
      </w:r>
      <w:bookmarkEnd w:id="85"/>
    </w:p>
    <w:p>
      <w:pPr>
        <w:jc w:val="center"/>
        <w:rPr>
          <w:rFonts w:ascii="黑体" w:eastAsia="黑体"/>
          <w:color w:val="auto"/>
          <w:sz w:val="32"/>
          <w:szCs w:val="32"/>
        </w:rPr>
      </w:pPr>
      <w:r>
        <w:rPr>
          <w:rFonts w:hint="eastAsia" w:ascii="黑体" w:eastAsia="黑体"/>
          <w:color w:val="auto"/>
          <w:sz w:val="32"/>
          <w:szCs w:val="32"/>
        </w:rPr>
        <w:t>开标一览表</w:t>
      </w:r>
    </w:p>
    <w:p>
      <w:pPr>
        <w:spacing w:line="360" w:lineRule="auto"/>
        <w:rPr>
          <w:color w:val="auto"/>
        </w:rPr>
      </w:pPr>
    </w:p>
    <w:p>
      <w:pPr>
        <w:spacing w:after="0" w:line="360" w:lineRule="auto"/>
        <w:rPr>
          <w:rFonts w:ascii="宋体" w:hAnsi="宋体" w:eastAsia="宋体"/>
          <w:color w:val="auto"/>
          <w:sz w:val="21"/>
          <w:szCs w:val="21"/>
        </w:rPr>
      </w:pPr>
      <w:r>
        <w:rPr>
          <w:rFonts w:hint="eastAsia" w:ascii="宋体" w:hAnsi="宋体" w:eastAsia="宋体"/>
          <w:color w:val="auto"/>
          <w:sz w:val="21"/>
          <w:szCs w:val="21"/>
        </w:rPr>
        <w:t>投标人名称：</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招标编号：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w:t>
      </w:r>
    </w:p>
    <w:tbl>
      <w:tblPr>
        <w:tblStyle w:val="1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4934"/>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7" w:hRule="atLeast"/>
          <w:jc w:val="center"/>
        </w:trPr>
        <w:tc>
          <w:tcPr>
            <w:tcW w:w="2156"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jc w:val="center"/>
              <w:textAlignment w:val="auto"/>
              <w:outlineLvl w:val="9"/>
              <w:rPr>
                <w:rFonts w:hint="eastAsia" w:ascii="宋体" w:hAnsi="宋体" w:eastAsia="宋体"/>
                <w:color w:val="auto"/>
                <w:sz w:val="21"/>
                <w:szCs w:val="21"/>
              </w:rPr>
            </w:pPr>
            <w:r>
              <w:rPr>
                <w:rFonts w:hint="eastAsia" w:ascii="宋体" w:hAnsi="宋体" w:eastAsia="宋体"/>
                <w:color w:val="auto"/>
                <w:sz w:val="21"/>
                <w:szCs w:val="21"/>
              </w:rPr>
              <w:t>项目名称/包号</w:t>
            </w:r>
          </w:p>
        </w:tc>
        <w:tc>
          <w:tcPr>
            <w:tcW w:w="4934"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jc w:val="center"/>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投标报价</w:t>
            </w:r>
          </w:p>
        </w:tc>
        <w:tc>
          <w:tcPr>
            <w:tcW w:w="1971"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jc w:val="center"/>
              <w:textAlignment w:val="auto"/>
              <w:outlineLvl w:val="9"/>
              <w:rPr>
                <w:rFonts w:hint="eastAsia"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2156"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jc w:val="center"/>
              <w:textAlignment w:val="auto"/>
              <w:outlineLvl w:val="9"/>
              <w:rPr>
                <w:rFonts w:hint="eastAsia" w:ascii="宋体" w:hAnsi="宋体" w:eastAsia="宋体"/>
                <w:color w:val="auto"/>
                <w:sz w:val="21"/>
                <w:szCs w:val="21"/>
              </w:rPr>
            </w:pPr>
          </w:p>
        </w:tc>
        <w:tc>
          <w:tcPr>
            <w:tcW w:w="4934" w:type="dxa"/>
            <w:vAlign w:val="center"/>
          </w:tcPr>
          <w:p>
            <w:pPr>
              <w:keepNext w:val="0"/>
              <w:keepLines w:val="0"/>
              <w:pageBreakBefore w:val="0"/>
              <w:widowControl/>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val="0"/>
              <w:snapToGrid w:val="0"/>
              <w:spacing w:after="0" w:line="240" w:lineRule="auto"/>
              <w:jc w:val="both"/>
              <w:textAlignment w:val="auto"/>
              <w:outlineLvl w:val="9"/>
              <w:rPr>
                <w:rFonts w:hint="eastAsia" w:ascii="宋体" w:hAnsi="宋体" w:eastAsia="宋体"/>
                <w:color w:val="auto"/>
                <w:sz w:val="21"/>
                <w:szCs w:val="21"/>
                <w:lang w:eastAsia="zh-CN"/>
              </w:rPr>
            </w:pPr>
          </w:p>
        </w:tc>
        <w:tc>
          <w:tcPr>
            <w:tcW w:w="1971"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rPr>
            </w:pPr>
          </w:p>
        </w:tc>
      </w:tr>
    </w:tbl>
    <w:p>
      <w:pPr>
        <w:spacing w:after="0" w:line="360" w:lineRule="auto"/>
        <w:rPr>
          <w:rFonts w:ascii="宋体" w:hAnsi="宋体" w:eastAsia="宋体"/>
          <w:color w:val="auto"/>
          <w:sz w:val="21"/>
          <w:szCs w:val="21"/>
        </w:rPr>
      </w:pPr>
    </w:p>
    <w:p>
      <w:pPr>
        <w:spacing w:after="0" w:line="360" w:lineRule="auto"/>
        <w:ind w:firstLine="359" w:firstLineChars="171"/>
        <w:rPr>
          <w:rFonts w:ascii="宋体" w:hAnsi="宋体" w:eastAsia="宋体"/>
          <w:color w:val="auto"/>
          <w:sz w:val="21"/>
          <w:szCs w:val="21"/>
        </w:rPr>
      </w:pP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投标人盖章：</w:t>
      </w: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日期：</w:t>
      </w:r>
    </w:p>
    <w:p>
      <w:pPr>
        <w:spacing w:after="0" w:line="360" w:lineRule="auto"/>
        <w:ind w:firstLine="359" w:firstLineChars="171"/>
        <w:rPr>
          <w:rFonts w:ascii="宋体" w:hAnsi="宋体" w:eastAsia="宋体"/>
          <w:color w:val="auto"/>
          <w:sz w:val="21"/>
          <w:szCs w:val="21"/>
        </w:rPr>
      </w:pPr>
    </w:p>
    <w:p>
      <w:pPr>
        <w:spacing w:after="0" w:line="360" w:lineRule="auto"/>
        <w:ind w:left="391" w:hanging="390" w:hangingChars="186"/>
        <w:rPr>
          <w:rFonts w:ascii="宋体" w:hAnsi="宋体" w:eastAsia="宋体"/>
          <w:color w:val="auto"/>
          <w:sz w:val="21"/>
          <w:szCs w:val="21"/>
        </w:rPr>
      </w:pPr>
      <w:r>
        <w:rPr>
          <w:rFonts w:hint="eastAsia" w:ascii="宋体" w:hAnsi="宋体" w:eastAsia="宋体"/>
          <w:color w:val="auto"/>
          <w:sz w:val="21"/>
          <w:szCs w:val="21"/>
        </w:rPr>
        <w:t xml:space="preserve">       注：1、投标总价栏须</w:t>
      </w:r>
      <w:r>
        <w:rPr>
          <w:rFonts w:ascii="宋体" w:hAnsi="宋体" w:eastAsia="宋体"/>
          <w:color w:val="auto"/>
          <w:sz w:val="21"/>
          <w:szCs w:val="21"/>
        </w:rPr>
        <w:t>用</w:t>
      </w:r>
      <w:r>
        <w:rPr>
          <w:rFonts w:hint="eastAsia" w:ascii="宋体" w:hAnsi="宋体" w:eastAsia="宋体"/>
          <w:color w:val="auto"/>
          <w:sz w:val="21"/>
          <w:szCs w:val="21"/>
        </w:rPr>
        <w:t>大写金额和小写金额两种方式</w:t>
      </w:r>
      <w:r>
        <w:rPr>
          <w:rFonts w:ascii="宋体" w:hAnsi="宋体" w:eastAsia="宋体"/>
          <w:color w:val="auto"/>
          <w:sz w:val="21"/>
          <w:szCs w:val="21"/>
        </w:rPr>
        <w:t>表示的投标总价</w:t>
      </w:r>
      <w:r>
        <w:rPr>
          <w:rFonts w:hint="eastAsia" w:ascii="宋体" w:hAnsi="宋体" w:eastAsia="宋体"/>
          <w:color w:val="auto"/>
          <w:sz w:val="21"/>
          <w:szCs w:val="21"/>
        </w:rPr>
        <w:t>，报价保留小数点后两位。投标总价大小写不一致，以大写为准。投标总价必须准确唯一且应包含完成全部服务内容的所有费用。</w:t>
      </w:r>
    </w:p>
    <w:p>
      <w:pPr>
        <w:spacing w:after="0" w:line="360" w:lineRule="auto"/>
        <w:ind w:left="374" w:leftChars="170" w:firstLine="359" w:firstLineChars="171"/>
        <w:rPr>
          <w:rFonts w:ascii="宋体" w:hAnsi="宋体" w:eastAsia="宋体"/>
          <w:color w:val="auto"/>
          <w:sz w:val="21"/>
          <w:szCs w:val="21"/>
        </w:rPr>
      </w:pPr>
      <w:r>
        <w:rPr>
          <w:rFonts w:hint="eastAsia" w:ascii="宋体" w:hAnsi="宋体" w:eastAsia="宋体"/>
          <w:color w:val="auto"/>
          <w:sz w:val="21"/>
          <w:szCs w:val="21"/>
        </w:rPr>
        <w:t>2、此表应按投标人须知的规定密封标记并与《授权委托书》、《投标保证金汇入情况说明》同密封单独提交，毋须装订在投标文件中。</w:t>
      </w:r>
    </w:p>
    <w:p>
      <w:pPr>
        <w:spacing w:after="0" w:line="360" w:lineRule="auto"/>
        <w:ind w:left="374" w:leftChars="170" w:firstLine="359" w:firstLineChars="171"/>
        <w:rPr>
          <w:rFonts w:ascii="宋体" w:hAnsi="宋体" w:eastAsia="宋体"/>
          <w:color w:val="auto"/>
          <w:sz w:val="21"/>
          <w:szCs w:val="21"/>
        </w:rPr>
      </w:pPr>
      <w:r>
        <w:rPr>
          <w:rFonts w:hint="eastAsia" w:ascii="宋体" w:hAnsi="宋体" w:eastAsia="宋体"/>
          <w:color w:val="auto"/>
          <w:sz w:val="21"/>
          <w:szCs w:val="21"/>
        </w:rPr>
        <w:t>3、温馨提示：未按招标文件要求报价、填写开标一览表是导致投标人废标的常见问题，请投标人仔细填写，认真核对。</w:t>
      </w:r>
    </w:p>
    <w:p>
      <w:pPr>
        <w:adjustRightInd/>
        <w:snapToGrid/>
        <w:spacing w:line="276" w:lineRule="auto"/>
        <w:rPr>
          <w:color w:val="auto"/>
        </w:rPr>
      </w:pPr>
    </w:p>
    <w:p>
      <w:pPr>
        <w:adjustRightInd/>
        <w:snapToGrid/>
        <w:spacing w:line="276" w:lineRule="auto"/>
        <w:rPr>
          <w:color w:val="auto"/>
        </w:rPr>
      </w:pPr>
      <w:r>
        <w:rPr>
          <w:color w:val="auto"/>
        </w:rPr>
        <w:br w:type="page"/>
      </w:r>
    </w:p>
    <w:p>
      <w:pPr>
        <w:pStyle w:val="4"/>
        <w:widowControl w:val="0"/>
        <w:overflowPunct w:val="0"/>
        <w:spacing w:before="0" w:after="0" w:line="240" w:lineRule="auto"/>
        <w:rPr>
          <w:rFonts w:hint="eastAsia" w:ascii="宋体" w:hAnsi="宋体" w:eastAsia="宋体"/>
          <w:color w:val="auto"/>
          <w:sz w:val="21"/>
          <w:szCs w:val="21"/>
          <w:lang w:eastAsia="zh-CN"/>
        </w:rPr>
      </w:pPr>
      <w:bookmarkStart w:id="86" w:name="_Toc30397"/>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 xml:space="preserve">. </w:t>
      </w:r>
      <w:r>
        <w:rPr>
          <w:rFonts w:hint="eastAsia" w:ascii="宋体" w:hAnsi="宋体" w:eastAsia="宋体" w:cs="Times New Roman"/>
          <w:color w:val="auto"/>
          <w:sz w:val="21"/>
          <w:szCs w:val="21"/>
        </w:rPr>
        <w:t>投标分项报价表</w:t>
      </w:r>
      <w:bookmarkEnd w:id="86"/>
    </w:p>
    <w:p>
      <w:pPr>
        <w:keepNext w:val="0"/>
        <w:keepLines w:val="0"/>
        <w:pageBreakBefore w:val="0"/>
        <w:widowControl/>
        <w:kinsoku/>
        <w:wordWrap/>
        <w:overflowPunct/>
        <w:topLinePunct w:val="0"/>
        <w:autoSpaceDE/>
        <w:autoSpaceDN/>
        <w:bidi w:val="0"/>
        <w:adjustRightInd w:val="0"/>
        <w:snapToGrid w:val="0"/>
        <w:spacing w:after="0"/>
        <w:jc w:val="center"/>
        <w:textAlignment w:val="auto"/>
        <w:outlineLvl w:val="9"/>
        <w:rPr>
          <w:rFonts w:hint="eastAsia" w:ascii="宋体" w:hAnsi="宋体" w:eastAsia="宋体" w:cs="宋体"/>
          <w:b/>
          <w:color w:val="auto"/>
          <w:sz w:val="30"/>
          <w:szCs w:val="30"/>
        </w:rPr>
      </w:pPr>
    </w:p>
    <w:p>
      <w:pPr>
        <w:jc w:val="center"/>
        <w:rPr>
          <w:rFonts w:ascii="黑体" w:eastAsia="黑体"/>
          <w:color w:val="auto"/>
          <w:sz w:val="32"/>
          <w:szCs w:val="32"/>
        </w:rPr>
      </w:pPr>
      <w:bookmarkStart w:id="87" w:name="_Toc23970"/>
      <w:r>
        <w:rPr>
          <w:rFonts w:hint="eastAsia" w:ascii="宋体" w:hAnsi="宋体" w:eastAsia="宋体"/>
          <w:color w:val="auto"/>
          <w:sz w:val="21"/>
          <w:szCs w:val="21"/>
        </w:rPr>
        <w:br w:type="page"/>
      </w:r>
      <w:r>
        <w:rPr>
          <w:rFonts w:hint="eastAsia" w:ascii="黑体" w:eastAsia="黑体"/>
          <w:color w:val="auto"/>
          <w:sz w:val="32"/>
          <w:szCs w:val="32"/>
        </w:rPr>
        <w:t>货物分项报价表</w:t>
      </w:r>
      <w:r>
        <w:rPr>
          <w:rFonts w:hint="eastAsia" w:ascii="宋体" w:hAnsi="宋体" w:eastAsia="宋体"/>
          <w:color w:val="auto"/>
          <w:sz w:val="21"/>
          <w:szCs w:val="21"/>
        </w:rPr>
        <w:t xml:space="preserve">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3"/>
        <w:gridCol w:w="1375"/>
        <w:gridCol w:w="859"/>
        <w:gridCol w:w="1374"/>
        <w:gridCol w:w="688"/>
        <w:gridCol w:w="859"/>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序号</w:t>
            </w:r>
          </w:p>
        </w:tc>
        <w:tc>
          <w:tcPr>
            <w:tcW w:w="1863"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货物名称</w:t>
            </w:r>
          </w:p>
        </w:tc>
        <w:tc>
          <w:tcPr>
            <w:tcW w:w="1375"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型号和规格</w:t>
            </w:r>
          </w:p>
        </w:tc>
        <w:tc>
          <w:tcPr>
            <w:tcW w:w="859"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数量</w:t>
            </w:r>
          </w:p>
        </w:tc>
        <w:tc>
          <w:tcPr>
            <w:tcW w:w="1374"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原产地和</w:t>
            </w:r>
          </w:p>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制造商名称</w:t>
            </w:r>
          </w:p>
        </w:tc>
        <w:tc>
          <w:tcPr>
            <w:tcW w:w="688"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单价</w:t>
            </w:r>
          </w:p>
        </w:tc>
        <w:tc>
          <w:tcPr>
            <w:tcW w:w="859"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总价</w:t>
            </w:r>
          </w:p>
        </w:tc>
        <w:tc>
          <w:tcPr>
            <w:tcW w:w="68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1</w:t>
            </w:r>
          </w:p>
        </w:tc>
        <w:tc>
          <w:tcPr>
            <w:tcW w:w="1863" w:type="dxa"/>
            <w:vAlign w:val="center"/>
          </w:tcPr>
          <w:p>
            <w:pPr>
              <w:spacing w:before="100" w:beforeAutospacing="1" w:after="100" w:afterAutospacing="1"/>
              <w:rPr>
                <w:rFonts w:ascii="宋体" w:hAnsi="宋体" w:eastAsia="宋体"/>
                <w:color w:val="auto"/>
                <w:sz w:val="21"/>
                <w:szCs w:val="21"/>
              </w:rPr>
            </w:pPr>
          </w:p>
        </w:tc>
        <w:tc>
          <w:tcPr>
            <w:tcW w:w="1375"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1374" w:type="dxa"/>
            <w:vAlign w:val="center"/>
          </w:tcPr>
          <w:p>
            <w:pPr>
              <w:spacing w:before="100" w:beforeAutospacing="1" w:after="100" w:afterAutospacing="1"/>
              <w:jc w:val="center"/>
              <w:rPr>
                <w:rFonts w:ascii="宋体" w:hAnsi="宋体" w:eastAsia="宋体"/>
                <w:color w:val="auto"/>
                <w:sz w:val="21"/>
                <w:szCs w:val="21"/>
              </w:rPr>
            </w:pPr>
          </w:p>
        </w:tc>
        <w:tc>
          <w:tcPr>
            <w:tcW w:w="688"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687"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2</w:t>
            </w:r>
          </w:p>
        </w:tc>
        <w:tc>
          <w:tcPr>
            <w:tcW w:w="1863" w:type="dxa"/>
            <w:vAlign w:val="center"/>
          </w:tcPr>
          <w:p>
            <w:pPr>
              <w:spacing w:before="100" w:beforeAutospacing="1" w:after="100" w:afterAutospacing="1"/>
              <w:rPr>
                <w:rFonts w:ascii="宋体" w:hAnsi="宋体" w:eastAsia="宋体"/>
                <w:color w:val="auto"/>
                <w:sz w:val="21"/>
                <w:szCs w:val="21"/>
              </w:rPr>
            </w:pPr>
          </w:p>
        </w:tc>
        <w:tc>
          <w:tcPr>
            <w:tcW w:w="1375"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1374" w:type="dxa"/>
            <w:vAlign w:val="center"/>
          </w:tcPr>
          <w:p>
            <w:pPr>
              <w:spacing w:before="100" w:beforeAutospacing="1" w:after="100" w:afterAutospacing="1"/>
              <w:jc w:val="center"/>
              <w:rPr>
                <w:rFonts w:ascii="宋体" w:hAnsi="宋体" w:eastAsia="宋体"/>
                <w:color w:val="auto"/>
                <w:sz w:val="21"/>
                <w:szCs w:val="21"/>
              </w:rPr>
            </w:pPr>
          </w:p>
        </w:tc>
        <w:tc>
          <w:tcPr>
            <w:tcW w:w="688"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687"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3</w:t>
            </w:r>
          </w:p>
        </w:tc>
        <w:tc>
          <w:tcPr>
            <w:tcW w:w="1863" w:type="dxa"/>
            <w:vAlign w:val="center"/>
          </w:tcPr>
          <w:p>
            <w:pPr>
              <w:spacing w:before="100" w:beforeAutospacing="1" w:after="100" w:afterAutospacing="1"/>
              <w:rPr>
                <w:rFonts w:ascii="宋体" w:hAnsi="宋体" w:eastAsia="宋体"/>
                <w:color w:val="auto"/>
                <w:sz w:val="21"/>
                <w:szCs w:val="21"/>
              </w:rPr>
            </w:pPr>
          </w:p>
        </w:tc>
        <w:tc>
          <w:tcPr>
            <w:tcW w:w="1375"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1374" w:type="dxa"/>
            <w:vAlign w:val="center"/>
          </w:tcPr>
          <w:p>
            <w:pPr>
              <w:spacing w:before="100" w:beforeAutospacing="1" w:after="100" w:afterAutospacing="1"/>
              <w:jc w:val="center"/>
              <w:rPr>
                <w:rFonts w:ascii="宋体" w:hAnsi="宋体" w:eastAsia="宋体"/>
                <w:color w:val="auto"/>
                <w:sz w:val="21"/>
                <w:szCs w:val="21"/>
              </w:rPr>
            </w:pPr>
          </w:p>
        </w:tc>
        <w:tc>
          <w:tcPr>
            <w:tcW w:w="688" w:type="dxa"/>
            <w:vAlign w:val="center"/>
          </w:tcPr>
          <w:p>
            <w:pPr>
              <w:spacing w:before="100" w:beforeAutospacing="1" w:after="100" w:afterAutospacing="1"/>
              <w:jc w:val="center"/>
              <w:rPr>
                <w:rFonts w:ascii="宋体" w:hAnsi="宋体" w:eastAsia="宋体"/>
                <w:color w:val="auto"/>
                <w:sz w:val="21"/>
                <w:szCs w:val="21"/>
              </w:rPr>
            </w:pPr>
          </w:p>
        </w:tc>
        <w:tc>
          <w:tcPr>
            <w:tcW w:w="859" w:type="dxa"/>
            <w:vAlign w:val="center"/>
          </w:tcPr>
          <w:p>
            <w:pPr>
              <w:spacing w:before="100" w:beforeAutospacing="1" w:after="100" w:afterAutospacing="1"/>
              <w:jc w:val="center"/>
              <w:rPr>
                <w:rFonts w:ascii="宋体" w:hAnsi="宋体" w:eastAsia="宋体"/>
                <w:color w:val="auto"/>
                <w:sz w:val="21"/>
                <w:szCs w:val="21"/>
              </w:rPr>
            </w:pPr>
          </w:p>
        </w:tc>
        <w:tc>
          <w:tcPr>
            <w:tcW w:w="687"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976" w:type="dxa"/>
            <w:gridSpan w:val="6"/>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总价</w:t>
            </w:r>
          </w:p>
        </w:tc>
        <w:tc>
          <w:tcPr>
            <w:tcW w:w="1546" w:type="dxa"/>
            <w:gridSpan w:val="2"/>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522" w:type="dxa"/>
            <w:gridSpan w:val="8"/>
            <w:vAlign w:val="center"/>
          </w:tcPr>
          <w:p>
            <w:pPr>
              <w:spacing w:after="0"/>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rPr>
                <w:rFonts w:ascii="宋体" w:hAnsi="宋体" w:eastAsia="宋体"/>
                <w:color w:val="auto"/>
                <w:sz w:val="21"/>
                <w:szCs w:val="21"/>
              </w:rPr>
            </w:pPr>
            <w:r>
              <w:rPr>
                <w:rFonts w:hint="eastAsia" w:ascii="宋体" w:hAnsi="宋体" w:eastAsia="宋体"/>
                <w:color w:val="auto"/>
                <w:sz w:val="21"/>
                <w:szCs w:val="21"/>
              </w:rPr>
              <w:t>投标人盖章：</w:t>
            </w:r>
          </w:p>
          <w:p>
            <w:pPr>
              <w:spacing w:after="0"/>
              <w:rPr>
                <w:rFonts w:ascii="宋体" w:hAnsi="宋体" w:eastAsia="宋体"/>
                <w:color w:val="auto"/>
                <w:sz w:val="21"/>
                <w:szCs w:val="21"/>
              </w:rPr>
            </w:pPr>
            <w:r>
              <w:rPr>
                <w:rFonts w:hint="eastAsia" w:ascii="宋体" w:hAnsi="宋体" w:eastAsia="宋体"/>
                <w:color w:val="auto"/>
                <w:sz w:val="21"/>
                <w:szCs w:val="21"/>
              </w:rPr>
              <w:t>日期：</w:t>
            </w:r>
          </w:p>
        </w:tc>
      </w:tr>
    </w:tbl>
    <w:p>
      <w:pPr>
        <w:jc w:val="center"/>
        <w:rPr>
          <w:rFonts w:hint="eastAsia" w:ascii="黑体" w:eastAsia="黑体"/>
          <w:color w:val="auto"/>
          <w:sz w:val="32"/>
          <w:szCs w:val="32"/>
        </w:rPr>
      </w:pPr>
    </w:p>
    <w:p>
      <w:pPr>
        <w:jc w:val="center"/>
        <w:rPr>
          <w:color w:val="auto"/>
        </w:rPr>
      </w:pPr>
      <w:r>
        <w:rPr>
          <w:rFonts w:hint="eastAsia" w:ascii="黑体" w:eastAsia="黑体"/>
          <w:color w:val="auto"/>
          <w:sz w:val="32"/>
          <w:szCs w:val="32"/>
          <w:lang w:eastAsia="zh-CN"/>
        </w:rPr>
        <w:t>服务</w:t>
      </w:r>
      <w:r>
        <w:rPr>
          <w:rFonts w:hint="eastAsia" w:ascii="黑体" w:eastAsia="黑体"/>
          <w:color w:val="auto"/>
          <w:sz w:val="32"/>
          <w:szCs w:val="32"/>
        </w:rPr>
        <w:t>分项报价表</w:t>
      </w:r>
      <w:r>
        <w:rPr>
          <w:rFonts w:hint="eastAsia" w:ascii="宋体" w:hAnsi="宋体" w:eastAsia="宋体"/>
          <w:color w:val="auto"/>
          <w:sz w:val="21"/>
          <w:szCs w:val="21"/>
        </w:rPr>
        <w:t xml:space="preserve">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268"/>
        <w:gridCol w:w="1418"/>
        <w:gridCol w:w="77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序号</w:t>
            </w:r>
          </w:p>
        </w:tc>
        <w:tc>
          <w:tcPr>
            <w:tcW w:w="1701"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服务项目</w:t>
            </w:r>
          </w:p>
        </w:tc>
        <w:tc>
          <w:tcPr>
            <w:tcW w:w="2268"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服务具体内容</w:t>
            </w:r>
          </w:p>
        </w:tc>
        <w:tc>
          <w:tcPr>
            <w:tcW w:w="1418"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服务时间</w:t>
            </w:r>
          </w:p>
        </w:tc>
        <w:tc>
          <w:tcPr>
            <w:tcW w:w="772"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单价</w:t>
            </w:r>
          </w:p>
        </w:tc>
        <w:tc>
          <w:tcPr>
            <w:tcW w:w="1546"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1</w:t>
            </w:r>
          </w:p>
        </w:tc>
        <w:tc>
          <w:tcPr>
            <w:tcW w:w="1701" w:type="dxa"/>
            <w:vAlign w:val="center"/>
          </w:tcPr>
          <w:p>
            <w:pPr>
              <w:spacing w:before="100" w:beforeAutospacing="1" w:after="100" w:afterAutospacing="1"/>
              <w:jc w:val="center"/>
              <w:rPr>
                <w:rFonts w:ascii="宋体" w:hAnsi="宋体" w:eastAsia="宋体"/>
                <w:color w:val="auto"/>
                <w:sz w:val="21"/>
                <w:szCs w:val="21"/>
              </w:rPr>
            </w:pPr>
          </w:p>
        </w:tc>
        <w:tc>
          <w:tcPr>
            <w:tcW w:w="2268" w:type="dxa"/>
            <w:vAlign w:val="center"/>
          </w:tcPr>
          <w:p>
            <w:pPr>
              <w:spacing w:before="100" w:beforeAutospacing="1" w:after="100" w:afterAutospacing="1"/>
              <w:jc w:val="center"/>
              <w:rPr>
                <w:rFonts w:ascii="宋体" w:hAnsi="宋体" w:eastAsia="宋体"/>
                <w:color w:val="auto"/>
                <w:sz w:val="21"/>
                <w:szCs w:val="21"/>
              </w:rPr>
            </w:pPr>
          </w:p>
        </w:tc>
        <w:tc>
          <w:tcPr>
            <w:tcW w:w="1418" w:type="dxa"/>
            <w:vAlign w:val="center"/>
          </w:tcPr>
          <w:p>
            <w:pPr>
              <w:spacing w:before="100" w:beforeAutospacing="1" w:after="100" w:afterAutospacing="1"/>
              <w:jc w:val="center"/>
              <w:rPr>
                <w:rFonts w:ascii="宋体" w:hAnsi="宋体" w:eastAsia="宋体"/>
                <w:color w:val="auto"/>
                <w:sz w:val="21"/>
                <w:szCs w:val="21"/>
              </w:rPr>
            </w:pPr>
          </w:p>
        </w:tc>
        <w:tc>
          <w:tcPr>
            <w:tcW w:w="772" w:type="dxa"/>
            <w:vAlign w:val="center"/>
          </w:tcPr>
          <w:p>
            <w:pPr>
              <w:spacing w:before="100" w:beforeAutospacing="1" w:after="100" w:afterAutospacing="1"/>
              <w:jc w:val="center"/>
              <w:rPr>
                <w:rFonts w:ascii="宋体" w:hAnsi="宋体" w:eastAsia="宋体"/>
                <w:color w:val="auto"/>
                <w:sz w:val="21"/>
                <w:szCs w:val="21"/>
              </w:rPr>
            </w:pPr>
          </w:p>
        </w:tc>
        <w:tc>
          <w:tcPr>
            <w:tcW w:w="1546"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2</w:t>
            </w:r>
          </w:p>
        </w:tc>
        <w:tc>
          <w:tcPr>
            <w:tcW w:w="1701" w:type="dxa"/>
            <w:vAlign w:val="center"/>
          </w:tcPr>
          <w:p>
            <w:pPr>
              <w:spacing w:before="100" w:beforeAutospacing="1" w:after="100" w:afterAutospacing="1"/>
              <w:jc w:val="center"/>
              <w:rPr>
                <w:rFonts w:ascii="宋体" w:hAnsi="宋体" w:eastAsia="宋体"/>
                <w:color w:val="auto"/>
                <w:sz w:val="21"/>
                <w:szCs w:val="21"/>
              </w:rPr>
            </w:pPr>
          </w:p>
        </w:tc>
        <w:tc>
          <w:tcPr>
            <w:tcW w:w="2268" w:type="dxa"/>
            <w:vAlign w:val="center"/>
          </w:tcPr>
          <w:p>
            <w:pPr>
              <w:spacing w:before="100" w:beforeAutospacing="1" w:after="100" w:afterAutospacing="1"/>
              <w:jc w:val="center"/>
              <w:rPr>
                <w:rFonts w:ascii="宋体" w:hAnsi="宋体" w:eastAsia="宋体"/>
                <w:color w:val="auto"/>
                <w:sz w:val="21"/>
                <w:szCs w:val="21"/>
              </w:rPr>
            </w:pPr>
          </w:p>
        </w:tc>
        <w:tc>
          <w:tcPr>
            <w:tcW w:w="1418" w:type="dxa"/>
            <w:vAlign w:val="center"/>
          </w:tcPr>
          <w:p>
            <w:pPr>
              <w:spacing w:before="100" w:beforeAutospacing="1" w:after="100" w:afterAutospacing="1"/>
              <w:jc w:val="center"/>
              <w:rPr>
                <w:rFonts w:ascii="宋体" w:hAnsi="宋体" w:eastAsia="宋体"/>
                <w:color w:val="auto"/>
                <w:sz w:val="21"/>
                <w:szCs w:val="21"/>
              </w:rPr>
            </w:pPr>
          </w:p>
        </w:tc>
        <w:tc>
          <w:tcPr>
            <w:tcW w:w="772" w:type="dxa"/>
            <w:vAlign w:val="center"/>
          </w:tcPr>
          <w:p>
            <w:pPr>
              <w:spacing w:before="100" w:beforeAutospacing="1" w:after="100" w:afterAutospacing="1"/>
              <w:jc w:val="center"/>
              <w:rPr>
                <w:rFonts w:ascii="宋体" w:hAnsi="宋体" w:eastAsia="宋体"/>
                <w:color w:val="auto"/>
                <w:sz w:val="21"/>
                <w:szCs w:val="21"/>
              </w:rPr>
            </w:pPr>
          </w:p>
        </w:tc>
        <w:tc>
          <w:tcPr>
            <w:tcW w:w="1546"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3</w:t>
            </w:r>
          </w:p>
        </w:tc>
        <w:tc>
          <w:tcPr>
            <w:tcW w:w="1701" w:type="dxa"/>
            <w:vAlign w:val="center"/>
          </w:tcPr>
          <w:p>
            <w:pPr>
              <w:spacing w:before="100" w:beforeAutospacing="1" w:after="100" w:afterAutospacing="1"/>
              <w:jc w:val="center"/>
              <w:rPr>
                <w:rFonts w:ascii="宋体" w:hAnsi="宋体" w:eastAsia="宋体"/>
                <w:color w:val="auto"/>
                <w:sz w:val="21"/>
                <w:szCs w:val="21"/>
              </w:rPr>
            </w:pPr>
          </w:p>
        </w:tc>
        <w:tc>
          <w:tcPr>
            <w:tcW w:w="2268" w:type="dxa"/>
            <w:vAlign w:val="center"/>
          </w:tcPr>
          <w:p>
            <w:pPr>
              <w:spacing w:before="100" w:beforeAutospacing="1" w:after="100" w:afterAutospacing="1"/>
              <w:jc w:val="center"/>
              <w:rPr>
                <w:rFonts w:ascii="宋体" w:hAnsi="宋体" w:eastAsia="宋体"/>
                <w:color w:val="auto"/>
                <w:sz w:val="21"/>
                <w:szCs w:val="21"/>
              </w:rPr>
            </w:pPr>
          </w:p>
        </w:tc>
        <w:tc>
          <w:tcPr>
            <w:tcW w:w="1418" w:type="dxa"/>
            <w:vAlign w:val="center"/>
          </w:tcPr>
          <w:p>
            <w:pPr>
              <w:spacing w:before="100" w:beforeAutospacing="1" w:after="100" w:afterAutospacing="1"/>
              <w:jc w:val="center"/>
              <w:rPr>
                <w:rFonts w:ascii="宋体" w:hAnsi="宋体" w:eastAsia="宋体"/>
                <w:color w:val="auto"/>
                <w:sz w:val="21"/>
                <w:szCs w:val="21"/>
              </w:rPr>
            </w:pPr>
          </w:p>
        </w:tc>
        <w:tc>
          <w:tcPr>
            <w:tcW w:w="772" w:type="dxa"/>
            <w:vAlign w:val="center"/>
          </w:tcPr>
          <w:p>
            <w:pPr>
              <w:spacing w:before="100" w:beforeAutospacing="1" w:after="100" w:afterAutospacing="1"/>
              <w:jc w:val="center"/>
              <w:rPr>
                <w:rFonts w:ascii="宋体" w:hAnsi="宋体" w:eastAsia="宋体"/>
                <w:color w:val="auto"/>
                <w:sz w:val="21"/>
                <w:szCs w:val="21"/>
              </w:rPr>
            </w:pPr>
          </w:p>
        </w:tc>
        <w:tc>
          <w:tcPr>
            <w:tcW w:w="1546"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6976" w:type="dxa"/>
            <w:gridSpan w:val="5"/>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总价</w:t>
            </w:r>
          </w:p>
        </w:tc>
        <w:tc>
          <w:tcPr>
            <w:tcW w:w="1546"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522" w:type="dxa"/>
            <w:gridSpan w:val="6"/>
            <w:shd w:val="clear" w:color="auto" w:fill="auto"/>
            <w:vAlign w:val="center"/>
          </w:tcPr>
          <w:p>
            <w:pPr>
              <w:spacing w:after="0"/>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rPr>
                <w:rFonts w:ascii="宋体" w:hAnsi="宋体" w:eastAsia="宋体"/>
                <w:color w:val="auto"/>
                <w:sz w:val="21"/>
                <w:szCs w:val="21"/>
              </w:rPr>
            </w:pPr>
            <w:r>
              <w:rPr>
                <w:rFonts w:hint="eastAsia" w:ascii="宋体" w:hAnsi="宋体" w:eastAsia="宋体"/>
                <w:color w:val="auto"/>
                <w:sz w:val="21"/>
                <w:szCs w:val="21"/>
              </w:rPr>
              <w:t>投标人盖章：</w:t>
            </w:r>
          </w:p>
          <w:p>
            <w:pPr>
              <w:spacing w:after="0"/>
              <w:rPr>
                <w:rFonts w:ascii="宋体" w:hAnsi="宋体" w:eastAsia="宋体"/>
                <w:color w:val="auto"/>
                <w:sz w:val="21"/>
                <w:szCs w:val="21"/>
              </w:rPr>
            </w:pPr>
            <w:r>
              <w:rPr>
                <w:rFonts w:hint="eastAsia" w:ascii="宋体" w:hAnsi="宋体" w:eastAsia="宋体"/>
                <w:color w:val="auto"/>
                <w:sz w:val="21"/>
                <w:szCs w:val="21"/>
              </w:rPr>
              <w:t>日期：</w:t>
            </w:r>
          </w:p>
        </w:tc>
      </w:tr>
    </w:tbl>
    <w:p>
      <w:pPr>
        <w:rPr>
          <w:rFonts w:ascii="宋体" w:hAnsi="宋体" w:eastAsia="宋体" w:cs="宋体"/>
          <w:b/>
          <w:color w:val="auto"/>
          <w:sz w:val="21"/>
          <w:szCs w:val="21"/>
        </w:rPr>
      </w:pPr>
    </w:p>
    <w:p>
      <w:pPr>
        <w:rPr>
          <w:rFonts w:ascii="宋体" w:hAnsi="宋体" w:eastAsia="宋体" w:cs="宋体"/>
          <w:b/>
          <w:color w:val="auto"/>
          <w:sz w:val="21"/>
          <w:szCs w:val="21"/>
        </w:rPr>
      </w:pPr>
    </w:p>
    <w:p>
      <w:pPr>
        <w:rPr>
          <w:rFonts w:ascii="宋体" w:hAnsi="宋体" w:eastAsia="宋体" w:cs="宋体"/>
          <w:b/>
          <w:color w:val="auto"/>
          <w:sz w:val="21"/>
          <w:szCs w:val="21"/>
        </w:rPr>
      </w:pPr>
    </w:p>
    <w:p>
      <w:pPr>
        <w:rPr>
          <w:rFonts w:ascii="宋体" w:hAnsi="宋体" w:eastAsia="宋体"/>
          <w:color w:val="auto"/>
          <w:sz w:val="21"/>
          <w:szCs w:val="21"/>
        </w:rPr>
      </w:pPr>
      <w:r>
        <w:rPr>
          <w:rFonts w:hint="eastAsia" w:ascii="宋体" w:hAnsi="宋体" w:eastAsia="宋体" w:cs="宋体"/>
          <w:b/>
          <w:color w:val="auto"/>
          <w:sz w:val="21"/>
          <w:szCs w:val="21"/>
        </w:rPr>
        <w:t>小型和微型企业产品（货物、承担的工程或者服务）列价表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75" w:type="dxa"/>
            <w:vAlign w:val="center"/>
          </w:tcPr>
          <w:p>
            <w:pPr>
              <w:ind w:right="-93"/>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587" w:type="dxa"/>
            <w:vAlign w:val="center"/>
          </w:tcPr>
          <w:p>
            <w:pPr>
              <w:ind w:left="-112" w:leftChars="-51" w:right="-108"/>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货物名称</w:t>
            </w:r>
          </w:p>
        </w:tc>
        <w:tc>
          <w:tcPr>
            <w:tcW w:w="1575" w:type="dxa"/>
            <w:vAlign w:val="center"/>
          </w:tcPr>
          <w:p>
            <w:pPr>
              <w:ind w:left="41" w:hanging="148"/>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品牌及原产地</w:t>
            </w:r>
          </w:p>
        </w:tc>
        <w:tc>
          <w:tcPr>
            <w:tcW w:w="1180" w:type="dxa"/>
            <w:vAlign w:val="center"/>
          </w:tcPr>
          <w:p>
            <w:pPr>
              <w:ind w:right="-49"/>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规格型号</w:t>
            </w:r>
          </w:p>
        </w:tc>
        <w:tc>
          <w:tcPr>
            <w:tcW w:w="778" w:type="dxa"/>
            <w:vAlign w:val="center"/>
          </w:tcPr>
          <w:p>
            <w:pPr>
              <w:ind w:right="-108"/>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数量</w:t>
            </w:r>
          </w:p>
        </w:tc>
        <w:tc>
          <w:tcPr>
            <w:tcW w:w="777" w:type="dxa"/>
            <w:vAlign w:val="center"/>
          </w:tcPr>
          <w:p>
            <w:pPr>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单价</w:t>
            </w:r>
          </w:p>
        </w:tc>
        <w:tc>
          <w:tcPr>
            <w:tcW w:w="778" w:type="dxa"/>
            <w:vAlign w:val="center"/>
          </w:tcPr>
          <w:p>
            <w:pPr>
              <w:ind w:right="-49"/>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总价</w:t>
            </w:r>
          </w:p>
        </w:tc>
        <w:tc>
          <w:tcPr>
            <w:tcW w:w="972" w:type="dxa"/>
            <w:vAlign w:val="center"/>
          </w:tcPr>
          <w:p>
            <w:pPr>
              <w:ind w:right="-49"/>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75" w:type="dxa"/>
            <w:vAlign w:val="center"/>
          </w:tcPr>
          <w:p>
            <w:pPr>
              <w:ind w:right="-93"/>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1</w:t>
            </w:r>
          </w:p>
        </w:tc>
        <w:tc>
          <w:tcPr>
            <w:tcW w:w="1587" w:type="dxa"/>
            <w:vAlign w:val="center"/>
          </w:tcPr>
          <w:p>
            <w:pPr>
              <w:ind w:right="893"/>
              <w:jc w:val="center"/>
              <w:textAlignment w:val="bottom"/>
              <w:rPr>
                <w:rFonts w:ascii="宋体" w:hAnsi="宋体" w:eastAsia="宋体" w:cs="宋体"/>
                <w:color w:val="auto"/>
                <w:sz w:val="21"/>
                <w:szCs w:val="21"/>
              </w:rPr>
            </w:pPr>
          </w:p>
        </w:tc>
        <w:tc>
          <w:tcPr>
            <w:tcW w:w="1575" w:type="dxa"/>
            <w:vAlign w:val="center"/>
          </w:tcPr>
          <w:p>
            <w:pPr>
              <w:ind w:right="893"/>
              <w:jc w:val="center"/>
              <w:textAlignment w:val="bottom"/>
              <w:rPr>
                <w:rFonts w:ascii="宋体" w:hAnsi="宋体" w:eastAsia="宋体" w:cs="宋体"/>
                <w:color w:val="auto"/>
                <w:sz w:val="21"/>
                <w:szCs w:val="21"/>
              </w:rPr>
            </w:pPr>
          </w:p>
        </w:tc>
        <w:tc>
          <w:tcPr>
            <w:tcW w:w="1180"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777"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972" w:type="dxa"/>
            <w:vAlign w:val="center"/>
          </w:tcPr>
          <w:p>
            <w:pPr>
              <w:ind w:right="893"/>
              <w:jc w:val="center"/>
              <w:textAlignment w:val="bottom"/>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75" w:type="dxa"/>
            <w:vAlign w:val="center"/>
          </w:tcPr>
          <w:p>
            <w:pPr>
              <w:ind w:right="-93"/>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2</w:t>
            </w:r>
          </w:p>
        </w:tc>
        <w:tc>
          <w:tcPr>
            <w:tcW w:w="1587" w:type="dxa"/>
            <w:vAlign w:val="center"/>
          </w:tcPr>
          <w:p>
            <w:pPr>
              <w:ind w:right="893"/>
              <w:jc w:val="center"/>
              <w:textAlignment w:val="bottom"/>
              <w:rPr>
                <w:rFonts w:ascii="宋体" w:hAnsi="宋体" w:eastAsia="宋体" w:cs="宋体"/>
                <w:color w:val="auto"/>
                <w:sz w:val="21"/>
                <w:szCs w:val="21"/>
              </w:rPr>
            </w:pPr>
          </w:p>
        </w:tc>
        <w:tc>
          <w:tcPr>
            <w:tcW w:w="1575" w:type="dxa"/>
            <w:vAlign w:val="center"/>
          </w:tcPr>
          <w:p>
            <w:pPr>
              <w:ind w:right="893"/>
              <w:jc w:val="center"/>
              <w:textAlignment w:val="bottom"/>
              <w:rPr>
                <w:rFonts w:ascii="宋体" w:hAnsi="宋体" w:eastAsia="宋体" w:cs="宋体"/>
                <w:color w:val="auto"/>
                <w:sz w:val="21"/>
                <w:szCs w:val="21"/>
              </w:rPr>
            </w:pPr>
          </w:p>
        </w:tc>
        <w:tc>
          <w:tcPr>
            <w:tcW w:w="1180"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777"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972" w:type="dxa"/>
            <w:vAlign w:val="center"/>
          </w:tcPr>
          <w:p>
            <w:pPr>
              <w:ind w:right="893"/>
              <w:jc w:val="center"/>
              <w:textAlignment w:val="bottom"/>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75" w:type="dxa"/>
            <w:vAlign w:val="center"/>
          </w:tcPr>
          <w:p>
            <w:pPr>
              <w:ind w:right="-93"/>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3</w:t>
            </w:r>
          </w:p>
        </w:tc>
        <w:tc>
          <w:tcPr>
            <w:tcW w:w="1587" w:type="dxa"/>
            <w:vAlign w:val="center"/>
          </w:tcPr>
          <w:p>
            <w:pPr>
              <w:ind w:right="893"/>
              <w:jc w:val="center"/>
              <w:textAlignment w:val="bottom"/>
              <w:rPr>
                <w:rFonts w:ascii="宋体" w:hAnsi="宋体" w:eastAsia="宋体" w:cs="宋体"/>
                <w:color w:val="auto"/>
                <w:sz w:val="21"/>
                <w:szCs w:val="21"/>
              </w:rPr>
            </w:pPr>
          </w:p>
        </w:tc>
        <w:tc>
          <w:tcPr>
            <w:tcW w:w="1575" w:type="dxa"/>
            <w:vAlign w:val="center"/>
          </w:tcPr>
          <w:p>
            <w:pPr>
              <w:ind w:right="893"/>
              <w:jc w:val="center"/>
              <w:textAlignment w:val="bottom"/>
              <w:rPr>
                <w:rFonts w:ascii="宋体" w:hAnsi="宋体" w:eastAsia="宋体" w:cs="宋体"/>
                <w:color w:val="auto"/>
                <w:sz w:val="21"/>
                <w:szCs w:val="21"/>
              </w:rPr>
            </w:pPr>
          </w:p>
        </w:tc>
        <w:tc>
          <w:tcPr>
            <w:tcW w:w="1180"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777"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972" w:type="dxa"/>
            <w:vAlign w:val="center"/>
          </w:tcPr>
          <w:p>
            <w:pPr>
              <w:ind w:right="893"/>
              <w:jc w:val="center"/>
              <w:textAlignment w:val="bottom"/>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75" w:type="dxa"/>
            <w:vAlign w:val="center"/>
          </w:tcPr>
          <w:p>
            <w:pPr>
              <w:ind w:right="-93"/>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w:t>
            </w:r>
          </w:p>
        </w:tc>
        <w:tc>
          <w:tcPr>
            <w:tcW w:w="1587" w:type="dxa"/>
            <w:vAlign w:val="center"/>
          </w:tcPr>
          <w:p>
            <w:pPr>
              <w:ind w:right="893"/>
              <w:jc w:val="center"/>
              <w:textAlignment w:val="bottom"/>
              <w:rPr>
                <w:rFonts w:ascii="宋体" w:hAnsi="宋体" w:eastAsia="宋体" w:cs="宋体"/>
                <w:color w:val="auto"/>
                <w:sz w:val="21"/>
                <w:szCs w:val="21"/>
              </w:rPr>
            </w:pPr>
          </w:p>
        </w:tc>
        <w:tc>
          <w:tcPr>
            <w:tcW w:w="1575" w:type="dxa"/>
            <w:vAlign w:val="center"/>
          </w:tcPr>
          <w:p>
            <w:pPr>
              <w:ind w:right="893"/>
              <w:jc w:val="center"/>
              <w:textAlignment w:val="bottom"/>
              <w:rPr>
                <w:rFonts w:ascii="宋体" w:hAnsi="宋体" w:eastAsia="宋体" w:cs="宋体"/>
                <w:color w:val="auto"/>
                <w:sz w:val="21"/>
                <w:szCs w:val="21"/>
              </w:rPr>
            </w:pPr>
          </w:p>
        </w:tc>
        <w:tc>
          <w:tcPr>
            <w:tcW w:w="1180"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777" w:type="dxa"/>
            <w:vAlign w:val="center"/>
          </w:tcPr>
          <w:p>
            <w:pPr>
              <w:ind w:right="893"/>
              <w:jc w:val="center"/>
              <w:textAlignment w:val="bottom"/>
              <w:rPr>
                <w:rFonts w:ascii="宋体" w:hAnsi="宋体" w:eastAsia="宋体" w:cs="宋体"/>
                <w:color w:val="auto"/>
                <w:sz w:val="21"/>
                <w:szCs w:val="21"/>
              </w:rPr>
            </w:pPr>
          </w:p>
        </w:tc>
        <w:tc>
          <w:tcPr>
            <w:tcW w:w="778" w:type="dxa"/>
            <w:vAlign w:val="center"/>
          </w:tcPr>
          <w:p>
            <w:pPr>
              <w:ind w:right="893"/>
              <w:jc w:val="center"/>
              <w:textAlignment w:val="bottom"/>
              <w:rPr>
                <w:rFonts w:ascii="宋体" w:hAnsi="宋体" w:eastAsia="宋体" w:cs="宋体"/>
                <w:color w:val="auto"/>
                <w:sz w:val="21"/>
                <w:szCs w:val="21"/>
              </w:rPr>
            </w:pPr>
          </w:p>
        </w:tc>
        <w:tc>
          <w:tcPr>
            <w:tcW w:w="972" w:type="dxa"/>
            <w:vAlign w:val="center"/>
          </w:tcPr>
          <w:p>
            <w:pPr>
              <w:ind w:right="893"/>
              <w:jc w:val="center"/>
              <w:textAlignment w:val="bottom"/>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trPr>
        <w:tc>
          <w:tcPr>
            <w:tcW w:w="2462" w:type="dxa"/>
            <w:gridSpan w:val="2"/>
            <w:vAlign w:val="center"/>
          </w:tcPr>
          <w:p>
            <w:pPr>
              <w:ind w:right="-108"/>
              <w:jc w:val="center"/>
              <w:textAlignment w:val="bottom"/>
              <w:rPr>
                <w:rFonts w:ascii="宋体" w:hAnsi="宋体" w:eastAsia="宋体" w:cs="宋体"/>
                <w:color w:val="auto"/>
                <w:sz w:val="21"/>
                <w:szCs w:val="21"/>
              </w:rPr>
            </w:pPr>
            <w:r>
              <w:rPr>
                <w:rFonts w:hint="eastAsia" w:ascii="宋体" w:hAnsi="宋体" w:eastAsia="宋体" w:cs="宋体"/>
                <w:color w:val="auto"/>
                <w:sz w:val="21"/>
                <w:szCs w:val="21"/>
              </w:rPr>
              <w:t>总计</w:t>
            </w:r>
          </w:p>
        </w:tc>
        <w:tc>
          <w:tcPr>
            <w:tcW w:w="6060" w:type="dxa"/>
            <w:gridSpan w:val="6"/>
            <w:vAlign w:val="center"/>
          </w:tcPr>
          <w:p>
            <w:pPr>
              <w:spacing w:line="480" w:lineRule="auto"/>
              <w:rPr>
                <w:rFonts w:ascii="宋体" w:hAnsi="宋体" w:eastAsia="宋体" w:cs="宋体"/>
                <w:color w:val="auto"/>
                <w:sz w:val="21"/>
                <w:szCs w:val="21"/>
              </w:rPr>
            </w:pPr>
            <w:r>
              <w:rPr>
                <w:rStyle w:val="32"/>
                <w:rFonts w:hint="eastAsia" w:ascii="宋体" w:hAnsi="宋体" w:eastAsia="宋体" w:cs="宋体"/>
                <w:color w:val="auto"/>
                <w:sz w:val="21"/>
                <w:szCs w:val="21"/>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trPr>
        <w:tc>
          <w:tcPr>
            <w:tcW w:w="8522" w:type="dxa"/>
            <w:gridSpan w:val="8"/>
            <w:vAlign w:val="center"/>
          </w:tcPr>
          <w:p>
            <w:pPr>
              <w:rPr>
                <w:rStyle w:val="32"/>
                <w:rFonts w:ascii="宋体" w:hAnsi="宋体" w:eastAsia="宋体" w:cs="宋体"/>
                <w:b/>
                <w:color w:val="auto"/>
                <w:sz w:val="21"/>
                <w:szCs w:val="21"/>
              </w:rPr>
            </w:pPr>
            <w:r>
              <w:rPr>
                <w:rStyle w:val="32"/>
                <w:rFonts w:hint="eastAsia" w:ascii="宋体" w:hAnsi="宋体" w:eastAsia="宋体" w:cs="宋体"/>
                <w:b/>
                <w:color w:val="auto"/>
                <w:sz w:val="21"/>
                <w:szCs w:val="21"/>
              </w:rPr>
              <w:t>注：1、投标人在“一、报价明细表”中的报价内容中，如有属于</w:t>
            </w:r>
            <w:r>
              <w:rPr>
                <w:rFonts w:hint="eastAsia" w:ascii="宋体" w:hAnsi="宋体" w:eastAsia="宋体" w:cs="宋体"/>
                <w:b/>
                <w:color w:val="auto"/>
                <w:sz w:val="21"/>
                <w:szCs w:val="21"/>
              </w:rPr>
              <w:t>小型和微型企业产品（货物、承担的工程或者服务）的，必须在此表单独列明，否则在计算价格得分时不予以相应的扣除</w:t>
            </w:r>
            <w:r>
              <w:rPr>
                <w:rStyle w:val="32"/>
                <w:rFonts w:hint="eastAsia" w:ascii="宋体" w:hAnsi="宋体" w:eastAsia="宋体" w:cs="宋体"/>
                <w:b/>
                <w:color w:val="auto"/>
                <w:sz w:val="21"/>
                <w:szCs w:val="21"/>
              </w:rPr>
              <w:t>；</w:t>
            </w:r>
          </w:p>
          <w:p>
            <w:pPr>
              <w:tabs>
                <w:tab w:val="left" w:pos="284"/>
              </w:tabs>
              <w:rPr>
                <w:rStyle w:val="32"/>
                <w:rFonts w:ascii="宋体" w:hAnsi="宋体" w:eastAsia="宋体" w:cs="宋体"/>
                <w:b/>
                <w:color w:val="auto"/>
                <w:sz w:val="21"/>
                <w:szCs w:val="21"/>
              </w:rPr>
            </w:pPr>
            <w:r>
              <w:rPr>
                <w:rStyle w:val="32"/>
                <w:rFonts w:hint="eastAsia" w:ascii="宋体" w:hAnsi="宋体" w:eastAsia="宋体" w:cs="宋体"/>
                <w:b/>
                <w:color w:val="auto"/>
                <w:sz w:val="21"/>
                <w:szCs w:val="21"/>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atLeast"/>
        </w:trPr>
        <w:tc>
          <w:tcPr>
            <w:tcW w:w="8522" w:type="dxa"/>
            <w:gridSpan w:val="8"/>
            <w:vAlign w:val="center"/>
          </w:tcPr>
          <w:p>
            <w:pPr>
              <w:spacing w:after="0"/>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rPr>
                <w:rFonts w:ascii="宋体" w:hAnsi="宋体" w:eastAsia="宋体"/>
                <w:color w:val="auto"/>
                <w:sz w:val="21"/>
                <w:szCs w:val="21"/>
              </w:rPr>
            </w:pPr>
            <w:r>
              <w:rPr>
                <w:rFonts w:hint="eastAsia" w:ascii="宋体" w:hAnsi="宋体" w:eastAsia="宋体"/>
                <w:color w:val="auto"/>
                <w:sz w:val="21"/>
                <w:szCs w:val="21"/>
              </w:rPr>
              <w:t>投标人盖章：</w:t>
            </w:r>
          </w:p>
          <w:p>
            <w:pPr>
              <w:keepNext w:val="0"/>
              <w:keepLines w:val="0"/>
              <w:pageBreakBefore w:val="0"/>
              <w:widowControl/>
              <w:tabs>
                <w:tab w:val="left" w:pos="284"/>
              </w:tabs>
              <w:kinsoku/>
              <w:wordWrap/>
              <w:overflowPunct/>
              <w:topLinePunct w:val="0"/>
              <w:autoSpaceDE/>
              <w:autoSpaceDN/>
              <w:bidi w:val="0"/>
              <w:adjustRightInd w:val="0"/>
              <w:snapToGrid w:val="0"/>
              <w:spacing w:after="0"/>
              <w:textAlignment w:val="auto"/>
              <w:outlineLvl w:val="9"/>
              <w:rPr>
                <w:rStyle w:val="32"/>
                <w:rFonts w:hint="eastAsia" w:ascii="宋体" w:hAnsi="宋体" w:eastAsia="宋体" w:cs="宋体"/>
                <w:b/>
                <w:color w:val="auto"/>
                <w:sz w:val="21"/>
                <w:szCs w:val="21"/>
              </w:rPr>
            </w:pPr>
            <w:r>
              <w:rPr>
                <w:rFonts w:hint="eastAsia" w:ascii="宋体" w:hAnsi="宋体" w:eastAsia="宋体"/>
                <w:color w:val="auto"/>
                <w:sz w:val="21"/>
                <w:szCs w:val="21"/>
              </w:rPr>
              <w:t>日期：</w:t>
            </w:r>
          </w:p>
        </w:tc>
      </w:tr>
    </w:tbl>
    <w:p>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olor w:val="auto"/>
          <w:sz w:val="21"/>
          <w:szCs w:val="21"/>
          <w:lang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注：</w:t>
      </w:r>
    </w:p>
    <w:p>
      <w:pPr>
        <w:pStyle w:val="22"/>
        <w:keepNext w:val="0"/>
        <w:keepLines w:val="0"/>
        <w:pageBreakBefore w:val="0"/>
        <w:widowControl/>
        <w:numPr>
          <w:ilvl w:val="0"/>
          <w:numId w:val="7"/>
        </w:numPr>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olor w:val="auto"/>
          <w:sz w:val="21"/>
          <w:szCs w:val="21"/>
        </w:rPr>
      </w:pPr>
      <w:r>
        <w:rPr>
          <w:rFonts w:hint="eastAsia" w:ascii="宋体" w:hAnsi="宋体" w:eastAsia="宋体"/>
          <w:color w:val="auto"/>
          <w:sz w:val="21"/>
          <w:szCs w:val="21"/>
        </w:rPr>
        <w:t>该表格为参考格式，投标人可按实际情况自行制订。</w:t>
      </w:r>
    </w:p>
    <w:p>
      <w:pPr>
        <w:pStyle w:val="22"/>
        <w:keepNext w:val="0"/>
        <w:keepLines w:val="0"/>
        <w:pageBreakBefore w:val="0"/>
        <w:widowControl/>
        <w:numPr>
          <w:ilvl w:val="0"/>
          <w:numId w:val="7"/>
        </w:numPr>
        <w:kinsoku/>
        <w:wordWrap/>
        <w:overflowPunct/>
        <w:topLinePunct w:val="0"/>
        <w:autoSpaceDE/>
        <w:autoSpaceDN/>
        <w:bidi w:val="0"/>
        <w:adjustRightInd w:val="0"/>
        <w:snapToGrid w:val="0"/>
        <w:spacing w:after="0" w:line="360" w:lineRule="auto"/>
        <w:ind w:firstLine="420" w:firstLineChars="200"/>
        <w:textAlignment w:val="auto"/>
        <w:outlineLvl w:val="9"/>
        <w:rPr>
          <w:rFonts w:hint="eastAsia" w:ascii="宋体" w:hAnsi="宋体" w:eastAsia="宋体"/>
          <w:color w:val="auto"/>
          <w:sz w:val="21"/>
          <w:szCs w:val="21"/>
        </w:rPr>
      </w:pPr>
      <w:r>
        <w:rPr>
          <w:rFonts w:hint="eastAsia" w:ascii="宋体" w:hAnsi="宋体" w:eastAsia="宋体"/>
          <w:color w:val="auto"/>
          <w:sz w:val="21"/>
          <w:szCs w:val="21"/>
          <w:lang w:eastAsia="zh-CN"/>
        </w:rPr>
        <w:t>投标人可按项目实际需求提供本表格。</w:t>
      </w:r>
    </w:p>
    <w:p>
      <w:pPr>
        <w:pStyle w:val="4"/>
        <w:widowControl w:val="0"/>
        <w:overflowPunct w:val="0"/>
        <w:spacing w:before="0" w:after="0" w:line="240" w:lineRule="auto"/>
        <w:rPr>
          <w:rFonts w:hint="eastAsia" w:ascii="宋体" w:hAnsi="宋体" w:eastAsia="宋体"/>
          <w:color w:val="auto"/>
          <w:sz w:val="21"/>
          <w:szCs w:val="21"/>
        </w:rPr>
      </w:pPr>
    </w:p>
    <w:p>
      <w:pPr>
        <w:pStyle w:val="4"/>
        <w:widowControl w:val="0"/>
        <w:overflowPunct w:val="0"/>
        <w:spacing w:before="0" w:after="0" w:line="240" w:lineRule="auto"/>
        <w:rPr>
          <w:rFonts w:hint="eastAsia" w:ascii="宋体" w:hAnsi="宋体" w:eastAsia="宋体"/>
          <w:color w:val="auto"/>
          <w:sz w:val="21"/>
          <w:szCs w:val="21"/>
        </w:rPr>
      </w:pPr>
      <w:r>
        <w:rPr>
          <w:rFonts w:hint="eastAsia"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 法定代表人证明书格式</w:t>
      </w:r>
      <w:bookmarkEnd w:id="87"/>
    </w:p>
    <w:p>
      <w:pPr>
        <w:rPr>
          <w:color w:val="auto"/>
        </w:rPr>
      </w:pPr>
    </w:p>
    <w:p>
      <w:pPr>
        <w:jc w:val="center"/>
        <w:rPr>
          <w:rFonts w:ascii="黑体" w:eastAsia="黑体"/>
          <w:color w:val="auto"/>
          <w:sz w:val="28"/>
          <w:szCs w:val="28"/>
        </w:rPr>
      </w:pPr>
      <w:r>
        <w:rPr>
          <w:rFonts w:hint="eastAsia" w:ascii="黑体" w:eastAsia="黑体"/>
          <w:color w:val="auto"/>
          <w:sz w:val="28"/>
          <w:szCs w:val="28"/>
        </w:rPr>
        <w:t>法定代表人证明书</w:t>
      </w:r>
    </w:p>
    <w:p>
      <w:pPr>
        <w:pStyle w:val="25"/>
        <w:spacing w:line="420" w:lineRule="atLeast"/>
        <w:ind w:firstLine="0" w:firstLineChars="0"/>
        <w:rPr>
          <w:rFonts w:ascii="宋体" w:eastAsia="宋体"/>
          <w:color w:val="auto"/>
          <w:sz w:val="21"/>
          <w:szCs w:val="21"/>
        </w:rPr>
      </w:pPr>
      <w:r>
        <w:rPr>
          <w:rFonts w:hint="eastAsia" w:ascii="宋体" w:eastAsia="宋体"/>
          <w:color w:val="auto"/>
          <w:sz w:val="21"/>
          <w:szCs w:val="21"/>
        </w:rPr>
        <w:t>致：广东三方诚信招标有限公司东莞分公司</w:t>
      </w:r>
    </w:p>
    <w:p>
      <w:pPr>
        <w:pStyle w:val="25"/>
        <w:spacing w:line="420" w:lineRule="atLeast"/>
        <w:ind w:firstLine="433"/>
        <w:rPr>
          <w:rFonts w:ascii="宋体" w:eastAsia="宋体"/>
          <w:color w:val="auto"/>
          <w:sz w:val="21"/>
          <w:szCs w:val="21"/>
        </w:rPr>
      </w:pPr>
    </w:p>
    <w:p>
      <w:pPr>
        <w:pStyle w:val="25"/>
        <w:spacing w:line="420" w:lineRule="atLeast"/>
        <w:ind w:firstLine="433"/>
        <w:rPr>
          <w:rFonts w:ascii="宋体" w:eastAsia="宋体"/>
          <w:color w:val="auto"/>
          <w:sz w:val="21"/>
          <w:szCs w:val="21"/>
          <w:u w:val="single"/>
        </w:rPr>
      </w:pPr>
      <w:r>
        <w:rPr>
          <w:rFonts w:hint="eastAsia" w:ascii="宋体" w:eastAsia="宋体"/>
          <w:color w:val="auto"/>
          <w:sz w:val="21"/>
          <w:szCs w:val="21"/>
        </w:rPr>
        <w:t>投标人名称:</w:t>
      </w:r>
    </w:p>
    <w:p>
      <w:pPr>
        <w:pStyle w:val="25"/>
        <w:spacing w:line="420" w:lineRule="atLeast"/>
        <w:ind w:firstLine="433"/>
        <w:rPr>
          <w:rFonts w:ascii="宋体" w:eastAsia="宋体"/>
          <w:color w:val="auto"/>
          <w:sz w:val="21"/>
          <w:szCs w:val="21"/>
          <w:u w:val="single"/>
        </w:rPr>
      </w:pPr>
      <w:r>
        <w:rPr>
          <w:rFonts w:hint="eastAsia" w:ascii="宋体" w:eastAsia="宋体"/>
          <w:color w:val="auto"/>
          <w:sz w:val="21"/>
          <w:szCs w:val="21"/>
        </w:rPr>
        <w:t>单 位 性质：</w:t>
      </w:r>
    </w:p>
    <w:p>
      <w:pPr>
        <w:pStyle w:val="25"/>
        <w:spacing w:line="420" w:lineRule="atLeast"/>
        <w:ind w:firstLine="433"/>
        <w:rPr>
          <w:rFonts w:ascii="宋体" w:eastAsia="宋体"/>
          <w:color w:val="auto"/>
          <w:sz w:val="21"/>
          <w:szCs w:val="21"/>
          <w:u w:val="single"/>
        </w:rPr>
      </w:pPr>
      <w:r>
        <w:rPr>
          <w:rFonts w:hint="eastAsia" w:ascii="宋体" w:eastAsia="宋体"/>
          <w:color w:val="auto"/>
          <w:sz w:val="21"/>
          <w:szCs w:val="21"/>
        </w:rPr>
        <w:t>地      址：</w:t>
      </w:r>
    </w:p>
    <w:p>
      <w:pPr>
        <w:pStyle w:val="25"/>
        <w:spacing w:line="420" w:lineRule="atLeast"/>
        <w:ind w:firstLine="433"/>
        <w:rPr>
          <w:rFonts w:ascii="宋体" w:eastAsia="宋体"/>
          <w:color w:val="auto"/>
          <w:sz w:val="21"/>
          <w:szCs w:val="21"/>
        </w:rPr>
      </w:pPr>
      <w:r>
        <w:rPr>
          <w:rFonts w:hint="eastAsia" w:ascii="宋体" w:eastAsia="宋体"/>
          <w:color w:val="auto"/>
          <w:sz w:val="21"/>
          <w:szCs w:val="21"/>
        </w:rPr>
        <w:t>成 立 时间：</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pStyle w:val="25"/>
        <w:spacing w:line="420" w:lineRule="atLeast"/>
        <w:ind w:firstLine="433"/>
        <w:rPr>
          <w:rFonts w:ascii="宋体" w:eastAsia="宋体"/>
          <w:color w:val="auto"/>
          <w:sz w:val="21"/>
          <w:szCs w:val="21"/>
        </w:rPr>
      </w:pPr>
      <w:r>
        <w:rPr>
          <w:rFonts w:hint="eastAsia" w:ascii="宋体" w:eastAsia="宋体"/>
          <w:color w:val="auto"/>
          <w:sz w:val="21"/>
          <w:szCs w:val="21"/>
        </w:rPr>
        <w:t>经 营 期限：</w:t>
      </w:r>
      <w:r>
        <w:rPr>
          <w:rFonts w:hint="eastAsia" w:ascii="宋体" w:eastAsia="宋体"/>
          <w:color w:val="auto"/>
          <w:sz w:val="21"/>
          <w:szCs w:val="21"/>
          <w:u w:val="single"/>
        </w:rPr>
        <w:t xml:space="preserve">                                      </w:t>
      </w:r>
    </w:p>
    <w:p>
      <w:pPr>
        <w:pStyle w:val="25"/>
        <w:spacing w:line="420" w:lineRule="atLeast"/>
        <w:ind w:firstLine="433"/>
        <w:rPr>
          <w:rFonts w:ascii="宋体" w:eastAsia="宋体"/>
          <w:color w:val="auto"/>
          <w:sz w:val="21"/>
          <w:szCs w:val="21"/>
        </w:rPr>
      </w:pPr>
      <w:r>
        <w:rPr>
          <w:rFonts w:hint="eastAsia" w:ascii="宋体" w:eastAsia="宋体"/>
          <w:color w:val="auto"/>
          <w:sz w:val="21"/>
          <w:szCs w:val="21"/>
        </w:rPr>
        <w:t>姓名：</w:t>
      </w:r>
      <w:r>
        <w:rPr>
          <w:rFonts w:hint="eastAsia" w:ascii="宋体" w:eastAsia="宋体"/>
          <w:color w:val="auto"/>
          <w:sz w:val="21"/>
          <w:szCs w:val="21"/>
          <w:u w:val="single"/>
        </w:rPr>
        <w:t xml:space="preserve">            </w:t>
      </w:r>
      <w:r>
        <w:rPr>
          <w:rFonts w:hint="eastAsia" w:ascii="宋体" w:eastAsia="宋体"/>
          <w:color w:val="auto"/>
          <w:sz w:val="21"/>
          <w:szCs w:val="21"/>
        </w:rPr>
        <w:t>性别：</w:t>
      </w:r>
      <w:r>
        <w:rPr>
          <w:rFonts w:hint="eastAsia" w:ascii="宋体" w:eastAsia="宋体"/>
          <w:color w:val="auto"/>
          <w:sz w:val="21"/>
          <w:szCs w:val="21"/>
          <w:u w:val="single"/>
        </w:rPr>
        <w:t xml:space="preserve">            </w:t>
      </w:r>
      <w:r>
        <w:rPr>
          <w:rFonts w:hint="eastAsia" w:ascii="宋体" w:eastAsia="宋体"/>
          <w:color w:val="auto"/>
          <w:sz w:val="21"/>
          <w:szCs w:val="21"/>
        </w:rPr>
        <w:t>年龄：</w:t>
      </w:r>
      <w:r>
        <w:rPr>
          <w:rFonts w:hint="eastAsia" w:ascii="宋体" w:eastAsia="宋体"/>
          <w:color w:val="auto"/>
          <w:sz w:val="21"/>
          <w:szCs w:val="21"/>
          <w:u w:val="single"/>
        </w:rPr>
        <w:t xml:space="preserve">            </w:t>
      </w:r>
      <w:r>
        <w:rPr>
          <w:rFonts w:hint="eastAsia" w:ascii="宋体" w:eastAsia="宋体"/>
          <w:color w:val="auto"/>
          <w:sz w:val="21"/>
          <w:szCs w:val="21"/>
        </w:rPr>
        <w:t>职务：</w:t>
      </w:r>
      <w:r>
        <w:rPr>
          <w:rFonts w:hint="eastAsia" w:ascii="宋体" w:eastAsia="宋体"/>
          <w:color w:val="auto"/>
          <w:sz w:val="21"/>
          <w:szCs w:val="21"/>
          <w:u w:val="single"/>
        </w:rPr>
        <w:t xml:space="preserve">            </w:t>
      </w:r>
    </w:p>
    <w:p>
      <w:pPr>
        <w:pStyle w:val="25"/>
        <w:spacing w:line="420" w:lineRule="atLeast"/>
        <w:ind w:firstLine="433"/>
        <w:rPr>
          <w:rFonts w:ascii="宋体" w:eastAsia="宋体"/>
          <w:color w:val="auto"/>
          <w:sz w:val="21"/>
          <w:szCs w:val="21"/>
        </w:rPr>
      </w:pPr>
      <w:r>
        <w:rPr>
          <w:rFonts w:hint="eastAsia" w:ascii="宋体" w:eastAsia="宋体"/>
          <w:color w:val="auto"/>
          <w:sz w:val="21"/>
          <w:szCs w:val="21"/>
        </w:rPr>
        <w:t>系</w:t>
      </w:r>
      <w:r>
        <w:rPr>
          <w:rFonts w:hint="eastAsia" w:ascii="宋体" w:eastAsia="宋体"/>
          <w:color w:val="auto"/>
          <w:sz w:val="21"/>
          <w:szCs w:val="21"/>
          <w:u w:val="single"/>
        </w:rPr>
        <w:t xml:space="preserve">                                </w:t>
      </w:r>
      <w:r>
        <w:rPr>
          <w:rFonts w:hint="eastAsia" w:ascii="宋体" w:eastAsia="宋体"/>
          <w:color w:val="auto"/>
          <w:sz w:val="21"/>
          <w:szCs w:val="21"/>
        </w:rPr>
        <w:t>（投标人名称）的法定代表人。</w:t>
      </w:r>
    </w:p>
    <w:p>
      <w:pPr>
        <w:spacing w:line="420" w:lineRule="atLeast"/>
        <w:ind w:firstLine="420" w:firstLineChars="200"/>
        <w:rPr>
          <w:rFonts w:ascii="宋体" w:hAnsi="宋体" w:eastAsia="宋体"/>
          <w:color w:val="auto"/>
          <w:sz w:val="21"/>
          <w:szCs w:val="21"/>
        </w:rPr>
      </w:pPr>
      <w:r>
        <w:rPr>
          <w:rFonts w:hint="eastAsia" w:ascii="宋体" w:hAnsi="宋体" w:eastAsia="宋体"/>
          <w:color w:val="auto"/>
          <w:sz w:val="21"/>
          <w:szCs w:val="21"/>
        </w:rPr>
        <w:t>特此证明。</w:t>
      </w:r>
    </w:p>
    <w:p>
      <w:pPr>
        <w:pStyle w:val="25"/>
        <w:spacing w:line="500" w:lineRule="atLeast"/>
        <w:ind w:firstLine="3517" w:firstLineChars="1675"/>
        <w:rPr>
          <w:rFonts w:ascii="宋体" w:eastAsia="宋体"/>
          <w:color w:val="auto"/>
          <w:sz w:val="21"/>
          <w:szCs w:val="21"/>
        </w:rPr>
      </w:pP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r>
        <w:rPr>
          <w:rFonts w:hint="eastAsia" w:ascii="宋体" w:eastAsia="宋体"/>
          <w:color w:val="auto"/>
          <w:sz w:val="21"/>
          <w:szCs w:val="21"/>
          <w:u w:val="single"/>
        </w:rPr>
        <w:t xml:space="preserve">                    </w:t>
      </w: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r>
        <w:rPr>
          <w:rFonts w:hint="eastAsia" w:ascii="宋体" w:eastAsia="宋体"/>
          <w:color w:val="auto"/>
          <w:sz w:val="21"/>
          <w:szCs w:val="21"/>
          <w:u w:val="single"/>
        </w:rPr>
        <w:t xml:space="preserve">               </w:t>
      </w:r>
    </w:p>
    <w:p>
      <w:pPr>
        <w:pStyle w:val="2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r>
        <w:rPr>
          <w:rFonts w:hint="eastAsia" w:ascii="宋体" w:eastAsia="宋体"/>
          <w:color w:val="auto"/>
          <w:sz w:val="21"/>
          <w:szCs w:val="21"/>
          <w:u w:val="single"/>
        </w:rPr>
        <w:t xml:space="preserve">                              </w:t>
      </w:r>
    </w:p>
    <w:p>
      <w:pPr>
        <w:pStyle w:val="25"/>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ind w:firstLine="420" w:firstLineChars="200"/>
        <w:rPr>
          <w:rFonts w:ascii="宋体" w:hAnsi="宋体" w:eastAsia="宋体"/>
          <w:color w:val="auto"/>
          <w:sz w:val="21"/>
          <w:szCs w:val="21"/>
        </w:rPr>
      </w:pPr>
    </w:p>
    <w:p>
      <w:pPr>
        <w:ind w:firstLine="420" w:firstLineChars="200"/>
        <w:rPr>
          <w:rFonts w:ascii="宋体" w:hAnsi="宋体" w:eastAsia="宋体"/>
          <w:color w:val="auto"/>
          <w:sz w:val="21"/>
          <w:szCs w:val="21"/>
        </w:rPr>
      </w:pPr>
      <w:r>
        <w:rPr>
          <w:rFonts w:hint="eastAsia" w:ascii="宋体" w:hAnsi="宋体" w:eastAsia="宋体"/>
          <w:color w:val="auto"/>
          <w:sz w:val="21"/>
          <w:szCs w:val="21"/>
        </w:rPr>
        <w:t>注：法定代表人身份证明书需附法人代表身份证复印件（加盖公章）。</w:t>
      </w:r>
    </w:p>
    <w:tbl>
      <w:tblPr>
        <w:tblStyle w:val="18"/>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25"/>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182" w:type="dxa"/>
            <w:vAlign w:val="center"/>
          </w:tcPr>
          <w:p>
            <w:pPr>
              <w:pStyle w:val="25"/>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pPr>
        <w:rPr>
          <w:color w:val="auto"/>
        </w:rPr>
      </w:pPr>
    </w:p>
    <w:p>
      <w:pPr>
        <w:adjustRightInd/>
        <w:snapToGrid/>
        <w:spacing w:line="276" w:lineRule="auto"/>
        <w:rPr>
          <w:rFonts w:ascii="楷体_GB2312" w:eastAsia="楷体_GB2312" w:hAnsiTheme="majorHAnsi" w:cstheme="majorBidi"/>
          <w:b/>
          <w:bCs/>
          <w:color w:val="auto"/>
          <w:sz w:val="24"/>
          <w:szCs w:val="28"/>
        </w:rPr>
      </w:pPr>
      <w:r>
        <w:rPr>
          <w:rFonts w:ascii="楷体_GB2312" w:eastAsia="楷体_GB2312"/>
          <w:color w:val="auto"/>
          <w:sz w:val="24"/>
        </w:rPr>
        <w:br w:type="page"/>
      </w:r>
    </w:p>
    <w:p>
      <w:pPr>
        <w:pStyle w:val="4"/>
        <w:widowControl w:val="0"/>
        <w:overflowPunct w:val="0"/>
        <w:spacing w:before="0" w:after="0" w:line="240" w:lineRule="auto"/>
        <w:rPr>
          <w:color w:val="auto"/>
        </w:rPr>
      </w:pPr>
      <w:bookmarkStart w:id="88" w:name="_Toc22310"/>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.法定代表人授权书格式</w:t>
      </w:r>
      <w:bookmarkEnd w:id="88"/>
    </w:p>
    <w:p>
      <w:pPr>
        <w:rPr>
          <w:color w:val="auto"/>
        </w:rPr>
      </w:pPr>
    </w:p>
    <w:p>
      <w:pPr>
        <w:jc w:val="center"/>
        <w:rPr>
          <w:rFonts w:ascii="黑体" w:eastAsia="黑体"/>
          <w:color w:val="auto"/>
          <w:sz w:val="28"/>
          <w:szCs w:val="28"/>
        </w:rPr>
      </w:pPr>
      <w:r>
        <w:rPr>
          <w:rFonts w:hint="eastAsia" w:ascii="黑体" w:eastAsia="黑体"/>
          <w:color w:val="auto"/>
          <w:sz w:val="28"/>
          <w:szCs w:val="28"/>
        </w:rPr>
        <w:t>法定代表人授权书</w:t>
      </w:r>
    </w:p>
    <w:p>
      <w:pPr>
        <w:pStyle w:val="25"/>
        <w:spacing w:line="420" w:lineRule="atLeast"/>
        <w:ind w:firstLine="0" w:firstLineChars="0"/>
        <w:rPr>
          <w:rFonts w:ascii="宋体" w:eastAsia="宋体"/>
          <w:color w:val="auto"/>
          <w:sz w:val="21"/>
          <w:szCs w:val="21"/>
        </w:rPr>
      </w:pPr>
      <w:r>
        <w:rPr>
          <w:rFonts w:hint="eastAsia" w:ascii="宋体" w:eastAsia="宋体"/>
          <w:color w:val="auto"/>
          <w:sz w:val="21"/>
          <w:szCs w:val="21"/>
        </w:rPr>
        <w:t>致：广东三方诚信招标有限公司东莞分公司</w:t>
      </w:r>
    </w:p>
    <w:p>
      <w:pPr>
        <w:pStyle w:val="25"/>
        <w:spacing w:line="420" w:lineRule="atLeast"/>
        <w:ind w:firstLine="433"/>
        <w:rPr>
          <w:rFonts w:ascii="宋体" w:eastAsia="宋体"/>
          <w:color w:val="auto"/>
          <w:sz w:val="21"/>
          <w:szCs w:val="21"/>
        </w:rPr>
      </w:pPr>
    </w:p>
    <w:p>
      <w:pPr>
        <w:spacing w:after="0"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本授权书声明：注册于</w:t>
      </w:r>
      <w:r>
        <w:rPr>
          <w:rFonts w:hint="eastAsia" w:ascii="宋体" w:hAnsi="宋体" w:eastAsia="宋体" w:cs="Times New Roman"/>
          <w:color w:val="auto"/>
          <w:sz w:val="21"/>
          <w:szCs w:val="21"/>
          <w:u w:val="single"/>
        </w:rPr>
        <w:t>（国家或地区的名称）</w:t>
      </w:r>
      <w:r>
        <w:rPr>
          <w:rFonts w:hint="eastAsia" w:ascii="宋体" w:hAnsi="宋体" w:eastAsia="宋体" w:cs="Times New Roman"/>
          <w:color w:val="auto"/>
          <w:sz w:val="21"/>
          <w:szCs w:val="21"/>
        </w:rPr>
        <w:t>的</w:t>
      </w:r>
      <w:r>
        <w:rPr>
          <w:rFonts w:hint="eastAsia" w:ascii="宋体" w:hAnsi="宋体" w:eastAsia="宋体" w:cs="Times New Roman"/>
          <w:color w:val="auto"/>
          <w:sz w:val="21"/>
          <w:szCs w:val="21"/>
          <w:u w:val="single"/>
        </w:rPr>
        <w:t>（单位名称）</w:t>
      </w:r>
      <w:r>
        <w:rPr>
          <w:rFonts w:hint="eastAsia" w:ascii="宋体" w:hAnsi="宋体" w:eastAsia="宋体" w:cs="Times New Roman"/>
          <w:color w:val="auto"/>
          <w:sz w:val="21"/>
          <w:szCs w:val="21"/>
        </w:rPr>
        <w:t>的在下面签字的</w:t>
      </w:r>
      <w:r>
        <w:rPr>
          <w:rFonts w:hint="eastAsia" w:ascii="宋体" w:hAnsi="宋体" w:eastAsia="宋体" w:cs="Times New Roman"/>
          <w:color w:val="auto"/>
          <w:sz w:val="21"/>
          <w:szCs w:val="21"/>
          <w:u w:val="single"/>
        </w:rPr>
        <w:t>（法定代表人姓名、职务）</w:t>
      </w:r>
      <w:r>
        <w:rPr>
          <w:rFonts w:hint="eastAsia" w:ascii="宋体" w:hAnsi="宋体" w:eastAsia="宋体" w:cs="Times New Roman"/>
          <w:color w:val="auto"/>
          <w:sz w:val="21"/>
          <w:szCs w:val="21"/>
        </w:rPr>
        <w:t>代表本单位授权</w:t>
      </w:r>
      <w:r>
        <w:rPr>
          <w:rFonts w:hint="eastAsia" w:ascii="宋体" w:hAnsi="宋体" w:eastAsia="宋体" w:cs="Times New Roman"/>
          <w:color w:val="auto"/>
          <w:sz w:val="21"/>
          <w:szCs w:val="21"/>
          <w:u w:val="single"/>
        </w:rPr>
        <w:t>（单位名称）</w:t>
      </w:r>
      <w:r>
        <w:rPr>
          <w:rFonts w:hint="eastAsia" w:ascii="宋体" w:hAnsi="宋体" w:eastAsia="宋体" w:cs="Times New Roman"/>
          <w:color w:val="auto"/>
          <w:sz w:val="21"/>
          <w:szCs w:val="21"/>
        </w:rPr>
        <w:t>的在下面签字的</w:t>
      </w:r>
      <w:r>
        <w:rPr>
          <w:rFonts w:hint="eastAsia" w:ascii="宋体" w:hAnsi="宋体" w:eastAsia="宋体" w:cs="Times New Roman"/>
          <w:color w:val="auto"/>
          <w:sz w:val="21"/>
          <w:szCs w:val="21"/>
          <w:u w:val="single"/>
        </w:rPr>
        <w:t>（被授权人的姓名、职务）</w:t>
      </w:r>
      <w:r>
        <w:rPr>
          <w:rFonts w:hint="eastAsia" w:ascii="宋体" w:hAnsi="宋体" w:eastAsia="宋体" w:cs="Times New Roman"/>
          <w:color w:val="auto"/>
          <w:sz w:val="21"/>
          <w:szCs w:val="21"/>
        </w:rPr>
        <w:t>为本单位的合法代理人，就</w:t>
      </w:r>
      <w:r>
        <w:rPr>
          <w:rFonts w:hint="eastAsia" w:ascii="宋体" w:hAnsi="宋体" w:eastAsia="宋体" w:cs="Times New Roman"/>
          <w:color w:val="auto"/>
          <w:sz w:val="21"/>
          <w:szCs w:val="21"/>
          <w:u w:val="single"/>
        </w:rPr>
        <w:t>（项目名称）</w:t>
      </w:r>
      <w:r>
        <w:rPr>
          <w:rFonts w:hint="eastAsia" w:ascii="宋体" w:hAnsi="宋体" w:eastAsia="宋体" w:cs="Times New Roman"/>
          <w:color w:val="auto"/>
          <w:sz w:val="21"/>
          <w:szCs w:val="21"/>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rPr>
      </w:pPr>
      <w:r>
        <w:rPr>
          <w:rFonts w:hint="eastAsia" w:ascii="宋体" w:hAnsi="宋体" w:eastAsia="宋体" w:cs="Times New Roman"/>
          <w:color w:val="auto"/>
          <w:sz w:val="21"/>
          <w:szCs w:val="21"/>
        </w:rPr>
        <w:t>本授权书于</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日签字生效，特此声明。</w:t>
      </w:r>
    </w:p>
    <w:p>
      <w:pPr>
        <w:pStyle w:val="25"/>
        <w:spacing w:line="500" w:lineRule="atLeast"/>
        <w:ind w:firstLine="3517" w:firstLineChars="1675"/>
        <w:rPr>
          <w:rFonts w:ascii="宋体" w:eastAsia="宋体"/>
          <w:color w:val="auto"/>
          <w:sz w:val="21"/>
          <w:szCs w:val="21"/>
        </w:rPr>
      </w:pP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r>
        <w:rPr>
          <w:rFonts w:hint="eastAsia" w:ascii="宋体" w:eastAsia="宋体"/>
          <w:color w:val="auto"/>
          <w:sz w:val="21"/>
          <w:szCs w:val="21"/>
          <w:u w:val="single"/>
        </w:rPr>
        <w:t xml:space="preserve">                 </w:t>
      </w:r>
    </w:p>
    <w:p>
      <w:pPr>
        <w:pStyle w:val="2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法定代表人签字（签名或盖私章）：</w:t>
      </w:r>
      <w:r>
        <w:rPr>
          <w:rFonts w:hint="eastAsia" w:ascii="宋体" w:eastAsia="宋体"/>
          <w:color w:val="auto"/>
          <w:sz w:val="21"/>
          <w:szCs w:val="21"/>
          <w:u w:val="single"/>
        </w:rPr>
        <w:t xml:space="preserve">               </w:t>
      </w: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被授权人签字：</w:t>
      </w:r>
    </w:p>
    <w:p>
      <w:pPr>
        <w:pStyle w:val="25"/>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职务：</w:t>
      </w:r>
      <w:r>
        <w:rPr>
          <w:rFonts w:hint="eastAsia" w:ascii="宋体" w:eastAsia="宋体"/>
          <w:color w:val="auto"/>
          <w:sz w:val="21"/>
          <w:szCs w:val="21"/>
          <w:u w:val="single"/>
        </w:rPr>
        <w:t xml:space="preserve">   </w:t>
      </w: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移动电话： </w:t>
      </w: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详细通讯地址：</w:t>
      </w:r>
    </w:p>
    <w:p>
      <w:pPr>
        <w:pStyle w:val="25"/>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邮箱：                          </w:t>
      </w:r>
    </w:p>
    <w:p>
      <w:pPr>
        <w:pStyle w:val="25"/>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pStyle w:val="25"/>
        <w:spacing w:line="460" w:lineRule="exact"/>
        <w:ind w:firstLine="433"/>
        <w:rPr>
          <w:rFonts w:ascii="宋体" w:eastAsia="宋体"/>
          <w:color w:val="auto"/>
          <w:sz w:val="21"/>
          <w:szCs w:val="21"/>
        </w:rPr>
      </w:pPr>
    </w:p>
    <w:p>
      <w:pPr>
        <w:spacing w:line="420" w:lineRule="atLeast"/>
        <w:ind w:firstLine="480" w:firstLineChars="200"/>
        <w:rPr>
          <w:rFonts w:ascii="宋体"/>
          <w:b/>
          <w:color w:val="auto"/>
          <w:sz w:val="24"/>
        </w:rPr>
      </w:pPr>
      <w:r>
        <w:rPr>
          <w:rFonts w:hint="eastAsia" w:ascii="宋体"/>
          <w:b/>
          <w:color w:val="auto"/>
          <w:sz w:val="24"/>
        </w:rPr>
        <w:t>须附：被授权人身份证复印件（加盖公章）</w:t>
      </w:r>
    </w:p>
    <w:p>
      <w:pPr>
        <w:rPr>
          <w:color w:val="auto"/>
        </w:rPr>
      </w:pPr>
    </w:p>
    <w:tbl>
      <w:tblPr>
        <w:tblStyle w:val="18"/>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25"/>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232" w:type="dxa"/>
            <w:vAlign w:val="center"/>
          </w:tcPr>
          <w:p>
            <w:pPr>
              <w:pStyle w:val="25"/>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pPr>
        <w:adjustRightInd/>
        <w:snapToGrid/>
        <w:spacing w:line="276" w:lineRule="auto"/>
        <w:rPr>
          <w:color w:val="auto"/>
        </w:rPr>
      </w:pPr>
      <w:r>
        <w:rPr>
          <w:color w:val="auto"/>
        </w:rPr>
        <w:br w:type="page"/>
      </w:r>
    </w:p>
    <w:p>
      <w:pPr>
        <w:pStyle w:val="4"/>
        <w:widowControl w:val="0"/>
        <w:overflowPunct w:val="0"/>
        <w:spacing w:before="0" w:after="0" w:line="240" w:lineRule="auto"/>
        <w:rPr>
          <w:color w:val="auto"/>
        </w:rPr>
      </w:pPr>
      <w:bookmarkStart w:id="89" w:name="_Toc12273"/>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 投标人基本情况</w:t>
      </w:r>
      <w:bookmarkEnd w:id="89"/>
    </w:p>
    <w:p>
      <w:pPr>
        <w:jc w:val="center"/>
        <w:rPr>
          <w:rFonts w:ascii="黑体" w:eastAsia="黑体"/>
          <w:color w:val="auto"/>
          <w:sz w:val="28"/>
          <w:szCs w:val="28"/>
        </w:rPr>
      </w:pPr>
    </w:p>
    <w:p>
      <w:pPr>
        <w:jc w:val="center"/>
        <w:rPr>
          <w:rFonts w:ascii="黑体" w:eastAsia="黑体"/>
          <w:color w:val="auto"/>
          <w:sz w:val="28"/>
          <w:szCs w:val="28"/>
        </w:rPr>
      </w:pPr>
      <w:r>
        <w:rPr>
          <w:rFonts w:hint="eastAsia" w:ascii="黑体" w:eastAsia="黑体"/>
          <w:color w:val="auto"/>
          <w:sz w:val="28"/>
          <w:szCs w:val="28"/>
        </w:rPr>
        <w:t>投标人基本情况说明</w:t>
      </w:r>
    </w:p>
    <w:p>
      <w:pPr>
        <w:spacing w:line="360" w:lineRule="auto"/>
        <w:rPr>
          <w:rFonts w:ascii="宋体" w:hAnsi="宋体" w:eastAsia="宋体"/>
          <w:color w:val="auto"/>
          <w:sz w:val="21"/>
          <w:szCs w:val="21"/>
        </w:rPr>
      </w:pPr>
      <w:r>
        <w:rPr>
          <w:rFonts w:hint="eastAsia" w:ascii="宋体" w:hAnsi="宋体" w:eastAsia="宋体"/>
          <w:color w:val="auto"/>
          <w:sz w:val="21"/>
          <w:szCs w:val="21"/>
        </w:rPr>
        <w:t>一、</w:t>
      </w:r>
      <w:r>
        <w:rPr>
          <w:rFonts w:ascii="宋体" w:hAnsi="宋体" w:eastAsia="宋体"/>
          <w:color w:val="auto"/>
          <w:sz w:val="21"/>
          <w:szCs w:val="21"/>
        </w:rPr>
        <w:t>公司基本情况</w:t>
      </w:r>
    </w:p>
    <w:p>
      <w:pPr>
        <w:tabs>
          <w:tab w:val="left" w:pos="4678"/>
        </w:tabs>
        <w:spacing w:line="360" w:lineRule="auto"/>
        <w:rPr>
          <w:rFonts w:ascii="宋体" w:hAnsi="宋体" w:eastAsia="宋体"/>
          <w:color w:val="auto"/>
          <w:sz w:val="21"/>
          <w:szCs w:val="21"/>
        </w:rPr>
      </w:pPr>
      <w:r>
        <w:rPr>
          <w:rFonts w:ascii="宋体" w:hAnsi="宋体" w:eastAsia="宋体"/>
          <w:color w:val="auto"/>
          <w:sz w:val="21"/>
          <w:szCs w:val="21"/>
        </w:rPr>
        <w:t>1、公司名称：</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电话号码：</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pPr>
        <w:spacing w:line="360" w:lineRule="auto"/>
        <w:rPr>
          <w:rFonts w:ascii="宋体" w:hAnsi="宋体" w:eastAsia="宋体"/>
          <w:color w:val="auto"/>
          <w:sz w:val="21"/>
          <w:szCs w:val="21"/>
        </w:rPr>
      </w:pPr>
      <w:r>
        <w:rPr>
          <w:rFonts w:ascii="宋体" w:hAnsi="宋体" w:eastAsia="宋体"/>
          <w:color w:val="auto"/>
          <w:sz w:val="21"/>
          <w:szCs w:val="21"/>
        </w:rPr>
        <w:t xml:space="preserve">2、地 </w:t>
      </w:r>
      <w:r>
        <w:rPr>
          <w:rFonts w:hint="eastAsia" w:ascii="宋体" w:hAnsi="宋体" w:eastAsia="宋体"/>
          <w:color w:val="auto"/>
          <w:sz w:val="21"/>
          <w:szCs w:val="21"/>
        </w:rPr>
        <w:t xml:space="preserve">  </w:t>
      </w:r>
      <w:r>
        <w:rPr>
          <w:rFonts w:ascii="宋体" w:hAnsi="宋体" w:eastAsia="宋体"/>
          <w:color w:val="auto"/>
          <w:sz w:val="21"/>
          <w:szCs w:val="21"/>
        </w:rPr>
        <w:t xml:space="preserve"> 址：</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rPr>
        <w:t xml:space="preserve"> 传 </w:t>
      </w:r>
      <w:r>
        <w:rPr>
          <w:rFonts w:hint="eastAsia" w:ascii="宋体" w:hAnsi="宋体" w:eastAsia="宋体"/>
          <w:color w:val="auto"/>
          <w:sz w:val="21"/>
          <w:szCs w:val="21"/>
        </w:rPr>
        <w:t xml:space="preserve">  </w:t>
      </w:r>
      <w:r>
        <w:rPr>
          <w:rFonts w:ascii="宋体" w:hAnsi="宋体" w:eastAsia="宋体"/>
          <w:color w:val="auto"/>
          <w:sz w:val="21"/>
          <w:szCs w:val="21"/>
        </w:rPr>
        <w:t xml:space="preserve"> 真：</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 xml:space="preserve"> </w:t>
      </w:r>
    </w:p>
    <w:p>
      <w:pPr>
        <w:spacing w:line="360" w:lineRule="auto"/>
        <w:rPr>
          <w:rFonts w:ascii="宋体" w:hAnsi="宋体" w:eastAsia="宋体"/>
          <w:color w:val="auto"/>
          <w:sz w:val="21"/>
          <w:szCs w:val="21"/>
          <w:u w:val="single"/>
        </w:rPr>
      </w:pPr>
      <w:r>
        <w:rPr>
          <w:rFonts w:ascii="宋体" w:hAnsi="宋体" w:eastAsia="宋体"/>
          <w:color w:val="auto"/>
          <w:sz w:val="21"/>
          <w:szCs w:val="21"/>
        </w:rPr>
        <w:t>3、注册资金：</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经济性质：</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pPr>
        <w:spacing w:line="360" w:lineRule="auto"/>
        <w:rPr>
          <w:rFonts w:ascii="宋体" w:hAnsi="宋体" w:eastAsia="宋体"/>
          <w:color w:val="auto"/>
          <w:sz w:val="21"/>
          <w:szCs w:val="21"/>
        </w:rPr>
      </w:pPr>
      <w:r>
        <w:rPr>
          <w:rFonts w:ascii="宋体" w:hAnsi="宋体" w:eastAsia="宋体"/>
          <w:color w:val="auto"/>
          <w:sz w:val="21"/>
          <w:szCs w:val="21"/>
        </w:rPr>
        <w:t xml:space="preserve">4、公司开户银行名称及账号：      </w:t>
      </w:r>
    </w:p>
    <w:p>
      <w:pPr>
        <w:spacing w:line="360" w:lineRule="auto"/>
        <w:rPr>
          <w:rFonts w:ascii="宋体" w:hAnsi="宋体" w:eastAsia="宋体"/>
          <w:color w:val="auto"/>
          <w:sz w:val="21"/>
          <w:szCs w:val="21"/>
        </w:rPr>
      </w:pPr>
      <w:r>
        <w:rPr>
          <w:rFonts w:ascii="宋体" w:hAnsi="宋体" w:eastAsia="宋体"/>
          <w:color w:val="auto"/>
          <w:sz w:val="21"/>
          <w:szCs w:val="21"/>
        </w:rPr>
        <w:t xml:space="preserve">5、营业注册执照号：  </w:t>
      </w:r>
    </w:p>
    <w:p>
      <w:pPr>
        <w:spacing w:line="360" w:lineRule="auto"/>
        <w:rPr>
          <w:rFonts w:ascii="宋体" w:hAnsi="宋体" w:eastAsia="宋体"/>
          <w:color w:val="auto"/>
          <w:sz w:val="21"/>
          <w:szCs w:val="21"/>
        </w:rPr>
      </w:pPr>
      <w:r>
        <w:rPr>
          <w:rFonts w:ascii="宋体" w:hAnsi="宋体" w:eastAsia="宋体"/>
          <w:color w:val="auto"/>
          <w:sz w:val="21"/>
          <w:szCs w:val="21"/>
        </w:rPr>
        <w:t>6、公司简介:</w:t>
      </w:r>
    </w:p>
    <w:p>
      <w:pPr>
        <w:spacing w:line="360" w:lineRule="auto"/>
        <w:rPr>
          <w:rFonts w:ascii="宋体" w:hAnsi="宋体" w:eastAsia="宋体"/>
          <w:color w:val="auto"/>
          <w:sz w:val="21"/>
          <w:szCs w:val="21"/>
        </w:rPr>
      </w:pPr>
      <w:r>
        <w:rPr>
          <w:rFonts w:ascii="宋体" w:hAnsi="宋体" w:eastAsia="宋体"/>
          <w:color w:val="auto"/>
          <w:sz w:val="21"/>
          <w:szCs w:val="21"/>
        </w:rPr>
        <w:t>7、公司财务情况：</w:t>
      </w:r>
    </w:p>
    <w:p>
      <w:pPr>
        <w:spacing w:line="420" w:lineRule="exact"/>
        <w:ind w:right="561"/>
        <w:rPr>
          <w:rFonts w:hint="eastAsia" w:ascii="宋体" w:hAnsi="宋体" w:eastAsia="宋体"/>
          <w:color w:val="auto"/>
          <w:sz w:val="21"/>
          <w:szCs w:val="21"/>
        </w:rPr>
      </w:pPr>
    </w:p>
    <w:p>
      <w:pPr>
        <w:spacing w:line="420" w:lineRule="exact"/>
        <w:ind w:right="561"/>
        <w:rPr>
          <w:rFonts w:hint="eastAsia" w:ascii="宋体" w:hAnsi="宋体" w:eastAsia="宋体"/>
          <w:color w:val="auto"/>
          <w:sz w:val="21"/>
          <w:szCs w:val="21"/>
        </w:rPr>
      </w:pPr>
    </w:p>
    <w:p>
      <w:pPr>
        <w:spacing w:line="420" w:lineRule="exact"/>
        <w:ind w:right="561"/>
        <w:rPr>
          <w:rFonts w:hint="eastAsia" w:ascii="宋体" w:hAnsi="宋体" w:eastAsia="宋体"/>
          <w:color w:val="auto"/>
          <w:sz w:val="21"/>
          <w:szCs w:val="21"/>
        </w:rPr>
      </w:pPr>
    </w:p>
    <w:p>
      <w:pPr>
        <w:spacing w:line="420" w:lineRule="exact"/>
        <w:ind w:right="561"/>
        <w:rPr>
          <w:rFonts w:ascii="宋体" w:hAnsi="宋体" w:eastAsia="宋体"/>
          <w:color w:val="auto"/>
          <w:sz w:val="21"/>
          <w:szCs w:val="21"/>
        </w:rPr>
      </w:pPr>
      <w:r>
        <w:rPr>
          <w:rFonts w:hint="eastAsia" w:ascii="宋体" w:hAnsi="宋体" w:eastAsia="宋体"/>
          <w:color w:val="auto"/>
          <w:sz w:val="21"/>
          <w:szCs w:val="21"/>
        </w:rPr>
        <w:t>投标人名称（加盖公章）：</w:t>
      </w:r>
    </w:p>
    <w:p>
      <w:pPr>
        <w:spacing w:line="420" w:lineRule="exact"/>
        <w:ind w:right="561"/>
        <w:rPr>
          <w:rFonts w:ascii="宋体" w:hAnsi="宋体" w:eastAsia="宋体"/>
          <w:color w:val="auto"/>
          <w:sz w:val="21"/>
          <w:szCs w:val="21"/>
        </w:rPr>
      </w:pPr>
      <w:r>
        <w:rPr>
          <w:rFonts w:hint="eastAsia" w:ascii="宋体" w:hAnsi="宋体" w:eastAsia="宋体"/>
          <w:color w:val="auto"/>
          <w:sz w:val="21"/>
          <w:szCs w:val="21"/>
        </w:rPr>
        <w:t>投标人法定代表人或受委托人（签名或盖私章）：</w:t>
      </w:r>
    </w:p>
    <w:p>
      <w:pPr>
        <w:spacing w:line="420" w:lineRule="exact"/>
        <w:ind w:right="561"/>
        <w:rPr>
          <w:rFonts w:ascii="宋体" w:hAnsi="宋体" w:eastAsia="宋体"/>
          <w:color w:val="auto"/>
          <w:sz w:val="21"/>
          <w:szCs w:val="21"/>
        </w:rPr>
      </w:pPr>
      <w:r>
        <w:rPr>
          <w:rFonts w:hint="eastAsia" w:ascii="宋体" w:hAnsi="宋体" w:eastAsia="宋体"/>
          <w:color w:val="auto"/>
          <w:sz w:val="21"/>
          <w:szCs w:val="21"/>
        </w:rPr>
        <w:t>日      期：</w:t>
      </w:r>
    </w:p>
    <w:p>
      <w:pPr>
        <w:spacing w:line="420" w:lineRule="exact"/>
        <w:ind w:right="561"/>
        <w:rPr>
          <w:rFonts w:ascii="宋体" w:hAnsi="宋体"/>
          <w:color w:val="auto"/>
        </w:rPr>
      </w:pPr>
    </w:p>
    <w:p>
      <w:pPr>
        <w:spacing w:line="420" w:lineRule="exact"/>
        <w:ind w:right="561"/>
        <w:rPr>
          <w:rFonts w:ascii="宋体" w:hAnsi="宋体"/>
          <w:color w:val="auto"/>
        </w:rPr>
      </w:pPr>
      <w:r>
        <w:rPr>
          <w:rFonts w:hint="eastAsia" w:ascii="宋体" w:hAnsi="宋体"/>
          <w:color w:val="auto"/>
        </w:rPr>
        <w:t>注：</w:t>
      </w:r>
    </w:p>
    <w:p>
      <w:pPr>
        <w:rPr>
          <w:rFonts w:ascii="宋体" w:hAnsi="宋体" w:eastAsia="宋体" w:cs="Times New Roman"/>
          <w:color w:val="auto"/>
          <w:sz w:val="21"/>
          <w:szCs w:val="21"/>
        </w:rPr>
      </w:pPr>
      <w:r>
        <w:rPr>
          <w:rFonts w:hint="eastAsia" w:ascii="宋体" w:hAnsi="宋体"/>
          <w:color w:val="auto"/>
        </w:rPr>
        <w:t>1、</w:t>
      </w:r>
      <w:r>
        <w:rPr>
          <w:rFonts w:hint="eastAsia" w:ascii="宋体" w:hAnsi="宋体" w:eastAsia="宋体"/>
          <w:color w:val="auto"/>
          <w:sz w:val="21"/>
          <w:szCs w:val="21"/>
        </w:rPr>
        <w:t>该表格为参考格式，投标人可按实际情况自行制订。</w:t>
      </w:r>
    </w:p>
    <w:p>
      <w:pPr>
        <w:pStyle w:val="4"/>
        <w:widowControl w:val="0"/>
        <w:overflowPunct w:val="0"/>
        <w:spacing w:before="0" w:after="0" w:line="240" w:lineRule="auto"/>
        <w:rPr>
          <w:rFonts w:hint="eastAsia" w:ascii="宋体" w:hAnsi="宋体" w:eastAsia="宋体"/>
          <w:color w:val="auto"/>
          <w:sz w:val="21"/>
          <w:szCs w:val="21"/>
          <w:lang w:eastAsia="zh-CN"/>
        </w:rPr>
      </w:pPr>
      <w:bookmarkStart w:id="90" w:name="_Toc22486"/>
      <w:r>
        <w:rPr>
          <w:rFonts w:hint="eastAsia" w:ascii="宋体" w:hAnsi="宋体" w:eastAsia="宋体"/>
          <w:color w:val="auto"/>
          <w:sz w:val="21"/>
          <w:szCs w:val="21"/>
          <w:lang w:eastAsia="zh-CN"/>
        </w:rPr>
        <w:br w:type="page"/>
      </w:r>
    </w:p>
    <w:p>
      <w:pPr>
        <w:pStyle w:val="4"/>
        <w:widowControl w:val="0"/>
        <w:overflowPunct w:val="0"/>
        <w:spacing w:before="0" w:after="0" w:line="240" w:lineRule="auto"/>
        <w:rPr>
          <w:rFonts w:hint="eastAsia" w:ascii="宋体" w:hAnsi="宋体" w:eastAsia="宋体"/>
          <w:color w:val="auto"/>
          <w:sz w:val="21"/>
          <w:szCs w:val="21"/>
          <w:lang w:val="en-US" w:eastAsia="zh-CN"/>
        </w:rPr>
      </w:pPr>
      <w:bookmarkStart w:id="91" w:name="_Toc9662"/>
      <w:r>
        <w:rPr>
          <w:rFonts w:hint="eastAsia" w:ascii="宋体" w:hAnsi="宋体" w:eastAsia="宋体"/>
          <w:color w:val="auto"/>
          <w:sz w:val="21"/>
          <w:szCs w:val="21"/>
          <w:lang w:eastAsia="zh-CN"/>
        </w:rPr>
        <w:t>附件</w:t>
      </w:r>
      <w:r>
        <w:rPr>
          <w:rFonts w:hint="eastAsia" w:ascii="宋体" w:hAnsi="宋体" w:eastAsia="宋体"/>
          <w:color w:val="auto"/>
          <w:sz w:val="21"/>
          <w:szCs w:val="21"/>
          <w:lang w:val="en-US" w:eastAsia="zh-CN"/>
        </w:rPr>
        <w:t>8.营业执照</w:t>
      </w:r>
      <w:bookmarkEnd w:id="91"/>
    </w:p>
    <w:p>
      <w:pPr>
        <w:pStyle w:val="4"/>
        <w:widowControl w:val="0"/>
        <w:overflowPunct w:val="0"/>
        <w:spacing w:before="0" w:after="0" w:line="240" w:lineRule="auto"/>
        <w:jc w:val="center"/>
        <w:rPr>
          <w:rFonts w:hint="eastAsia" w:ascii="宋体" w:hAnsi="宋体" w:eastAsia="宋体"/>
          <w:color w:val="auto"/>
          <w:sz w:val="21"/>
          <w:szCs w:val="21"/>
          <w:lang w:val="en-US" w:eastAsia="zh-CN"/>
        </w:rPr>
      </w:pPr>
    </w:p>
    <w:p>
      <w:pPr>
        <w:pStyle w:val="4"/>
        <w:widowControl w:val="0"/>
        <w:overflowPunct w:val="0"/>
        <w:spacing w:before="0" w:after="0" w:line="240" w:lineRule="auto"/>
        <w:jc w:val="center"/>
        <w:rPr>
          <w:rFonts w:hint="eastAsia" w:ascii="宋体" w:hAnsi="宋体" w:eastAsia="宋体"/>
          <w:color w:val="auto"/>
          <w:sz w:val="36"/>
          <w:szCs w:val="36"/>
          <w:lang w:val="en-US" w:eastAsia="zh-CN"/>
        </w:rPr>
      </w:pPr>
      <w:bookmarkStart w:id="92" w:name="_Toc24210"/>
      <w:bookmarkStart w:id="93" w:name="_Toc1511"/>
      <w:bookmarkStart w:id="94" w:name="_Toc4926"/>
      <w:bookmarkStart w:id="95" w:name="_Toc17470"/>
      <w:r>
        <w:rPr>
          <w:rFonts w:hint="eastAsia" w:ascii="宋体" w:hAnsi="宋体" w:eastAsia="宋体"/>
          <w:color w:val="auto"/>
          <w:sz w:val="36"/>
          <w:szCs w:val="36"/>
          <w:lang w:val="en-US" w:eastAsia="zh-CN"/>
        </w:rPr>
        <w:t>营业执照</w:t>
      </w:r>
      <w:bookmarkEnd w:id="92"/>
      <w:bookmarkEnd w:id="93"/>
      <w:bookmarkEnd w:id="94"/>
      <w:bookmarkEnd w:id="95"/>
    </w:p>
    <w:p>
      <w:pPr>
        <w:rPr>
          <w:rFonts w:hint="eastAsia"/>
          <w:color w:val="auto"/>
          <w:lang w:val="en-US" w:eastAsia="zh-CN"/>
        </w:rPr>
      </w:pPr>
    </w:p>
    <w:tbl>
      <w:tblPr>
        <w:tblStyle w:val="18"/>
        <w:tblW w:w="9160"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16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0034" w:hRule="atLeast"/>
          <w:jc w:val="center"/>
        </w:trPr>
        <w:tc>
          <w:tcPr>
            <w:tcW w:w="9160" w:type="dxa"/>
            <w:vAlign w:val="center"/>
          </w:tcPr>
          <w:p>
            <w:pPr>
              <w:pStyle w:val="25"/>
              <w:spacing w:line="460" w:lineRule="exact"/>
              <w:ind w:firstLine="0" w:firstLineChars="0"/>
              <w:jc w:val="center"/>
              <w:rPr>
                <w:rFonts w:hint="eastAsia" w:ascii="宋体" w:eastAsia="宋体"/>
                <w:color w:val="auto"/>
                <w:sz w:val="22"/>
                <w:lang w:eastAsia="zh-CN"/>
              </w:rPr>
            </w:pPr>
            <w:r>
              <w:rPr>
                <w:rFonts w:hint="eastAsia" w:ascii="宋体" w:eastAsia="宋体"/>
                <w:color w:val="auto"/>
                <w:sz w:val="30"/>
                <w:szCs w:val="30"/>
                <w:lang w:eastAsia="zh-CN"/>
              </w:rPr>
              <w:t>营业执照（加盖公章）</w:t>
            </w:r>
          </w:p>
        </w:tc>
      </w:tr>
    </w:tbl>
    <w:p>
      <w:pPr>
        <w:pStyle w:val="4"/>
        <w:widowControl w:val="0"/>
        <w:overflowPunct w:val="0"/>
        <w:spacing w:before="0" w:after="0" w:line="240" w:lineRule="auto"/>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br w:type="page"/>
      </w:r>
    </w:p>
    <w:p>
      <w:pPr>
        <w:pStyle w:val="4"/>
        <w:widowControl w:val="0"/>
        <w:overflowPunct w:val="0"/>
        <w:spacing w:before="0" w:after="0" w:line="240" w:lineRule="auto"/>
        <w:rPr>
          <w:rFonts w:hint="eastAsia" w:ascii="宋体" w:hAnsi="宋体" w:eastAsia="宋体"/>
          <w:color w:val="auto"/>
          <w:sz w:val="21"/>
          <w:szCs w:val="21"/>
          <w:lang w:val="en-US" w:eastAsia="zh-CN"/>
        </w:rPr>
      </w:pPr>
      <w:bookmarkStart w:id="96" w:name="_Toc12211"/>
      <w:r>
        <w:rPr>
          <w:rFonts w:hint="eastAsia" w:ascii="宋体" w:hAnsi="宋体" w:eastAsia="宋体"/>
          <w:color w:val="auto"/>
          <w:sz w:val="21"/>
          <w:szCs w:val="21"/>
          <w:lang w:val="en-US" w:eastAsia="zh-CN"/>
        </w:rPr>
        <w:t>附件9.相关资质证明文件</w:t>
      </w:r>
      <w:bookmarkEnd w:id="96"/>
    </w:p>
    <w:p>
      <w:pPr>
        <w:rPr>
          <w:rFonts w:hint="eastAsia"/>
          <w:color w:val="auto"/>
          <w:lang w:val="en-US" w:eastAsia="zh-CN"/>
        </w:rPr>
      </w:pPr>
    </w:p>
    <w:p>
      <w:pPr>
        <w:pStyle w:val="4"/>
        <w:widowControl w:val="0"/>
        <w:overflowPunct w:val="0"/>
        <w:spacing w:before="0" w:after="0" w:line="240" w:lineRule="auto"/>
        <w:jc w:val="center"/>
        <w:rPr>
          <w:rFonts w:hint="eastAsia" w:ascii="宋体" w:hAnsi="宋体" w:eastAsia="宋体"/>
          <w:color w:val="auto"/>
          <w:sz w:val="36"/>
          <w:szCs w:val="36"/>
          <w:lang w:val="en-US" w:eastAsia="zh-CN"/>
        </w:rPr>
      </w:pPr>
      <w:bookmarkStart w:id="97" w:name="_Toc9592"/>
      <w:bookmarkStart w:id="98" w:name="_Toc13458"/>
      <w:bookmarkStart w:id="99" w:name="_Toc30307"/>
      <w:bookmarkStart w:id="100" w:name="_Toc16698"/>
      <w:r>
        <w:rPr>
          <w:rFonts w:hint="eastAsia" w:ascii="宋体" w:hAnsi="宋体" w:eastAsia="宋体"/>
          <w:color w:val="auto"/>
          <w:sz w:val="36"/>
          <w:szCs w:val="36"/>
          <w:lang w:val="en-US" w:eastAsia="zh-CN"/>
        </w:rPr>
        <w:t>相关资质证明文件</w:t>
      </w:r>
      <w:bookmarkEnd w:id="97"/>
      <w:bookmarkEnd w:id="98"/>
      <w:bookmarkEnd w:id="99"/>
      <w:bookmarkEnd w:id="100"/>
    </w:p>
    <w:p>
      <w:pPr>
        <w:rPr>
          <w:rFonts w:hint="eastAsia"/>
          <w:color w:val="auto"/>
          <w:lang w:val="en-US" w:eastAsia="zh-CN"/>
        </w:rPr>
      </w:pPr>
    </w:p>
    <w:tbl>
      <w:tblPr>
        <w:tblStyle w:val="18"/>
        <w:tblW w:w="9160"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16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0034" w:hRule="atLeast"/>
          <w:jc w:val="center"/>
        </w:trPr>
        <w:tc>
          <w:tcPr>
            <w:tcW w:w="9160" w:type="dxa"/>
            <w:vAlign w:val="center"/>
          </w:tcPr>
          <w:p>
            <w:pPr>
              <w:pStyle w:val="4"/>
              <w:widowControl w:val="0"/>
              <w:overflowPunct w:val="0"/>
              <w:spacing w:before="0" w:after="0" w:line="240" w:lineRule="auto"/>
              <w:jc w:val="center"/>
              <w:rPr>
                <w:rFonts w:hint="eastAsia" w:ascii="宋体" w:eastAsia="宋体"/>
                <w:color w:val="auto"/>
                <w:sz w:val="22"/>
                <w:lang w:eastAsia="zh-CN"/>
              </w:rPr>
            </w:pPr>
            <w:bookmarkStart w:id="101" w:name="_Toc1177"/>
            <w:bookmarkStart w:id="102" w:name="_Toc16849"/>
            <w:bookmarkStart w:id="103" w:name="_Toc11609"/>
            <w:bookmarkStart w:id="104" w:name="_Toc15164"/>
            <w:r>
              <w:rPr>
                <w:rFonts w:hint="eastAsia" w:ascii="宋体" w:hAnsi="宋体" w:eastAsia="宋体"/>
                <w:b w:val="0"/>
                <w:bCs w:val="0"/>
                <w:color w:val="auto"/>
                <w:sz w:val="30"/>
                <w:szCs w:val="30"/>
                <w:lang w:val="en-US" w:eastAsia="zh-CN"/>
              </w:rPr>
              <w:t>相关资质证明文件（加盖公章）</w:t>
            </w:r>
            <w:bookmarkEnd w:id="101"/>
            <w:bookmarkEnd w:id="102"/>
            <w:bookmarkEnd w:id="103"/>
            <w:bookmarkEnd w:id="104"/>
          </w:p>
        </w:tc>
      </w:tr>
      <w:bookmarkEnd w:id="90"/>
    </w:tbl>
    <w:p>
      <w:pPr>
        <w:pStyle w:val="4"/>
        <w:widowControl w:val="0"/>
        <w:overflowPunct w:val="0"/>
        <w:spacing w:before="0" w:after="0" w:line="240" w:lineRule="auto"/>
        <w:jc w:val="left"/>
        <w:rPr>
          <w:rFonts w:hint="eastAsia" w:ascii="宋体" w:hAnsi="宋体" w:eastAsia="宋体"/>
          <w:color w:val="auto"/>
          <w:sz w:val="21"/>
          <w:szCs w:val="21"/>
        </w:rPr>
      </w:pPr>
      <w:r>
        <w:rPr>
          <w:rFonts w:hint="eastAsia"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105" w:name="_Toc2517"/>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10</w:t>
      </w:r>
      <w:r>
        <w:rPr>
          <w:rFonts w:hint="eastAsia" w:ascii="宋体" w:hAnsi="宋体" w:eastAsia="宋体"/>
          <w:color w:val="auto"/>
          <w:sz w:val="21"/>
          <w:szCs w:val="21"/>
        </w:rPr>
        <w:t>. 商务条款偏离表格式</w:t>
      </w:r>
      <w:bookmarkEnd w:id="105"/>
    </w:p>
    <w:p>
      <w:pPr>
        <w:jc w:val="center"/>
        <w:rPr>
          <w:rFonts w:ascii="黑体" w:eastAsia="黑体"/>
          <w:color w:val="auto"/>
          <w:sz w:val="28"/>
          <w:szCs w:val="28"/>
        </w:rPr>
      </w:pPr>
    </w:p>
    <w:p>
      <w:pPr>
        <w:jc w:val="center"/>
        <w:rPr>
          <w:rFonts w:ascii="黑体" w:eastAsia="黑体"/>
          <w:color w:val="auto"/>
          <w:sz w:val="28"/>
          <w:szCs w:val="28"/>
        </w:rPr>
      </w:pPr>
      <w:r>
        <w:rPr>
          <w:rFonts w:hint="eastAsia" w:ascii="黑体" w:eastAsia="黑体"/>
          <w:color w:val="auto"/>
          <w:sz w:val="28"/>
          <w:szCs w:val="28"/>
        </w:rPr>
        <w:t>商务条款偏离表</w:t>
      </w:r>
    </w:p>
    <w:tbl>
      <w:tblPr>
        <w:tblStyle w:val="1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360"/>
        <w:gridCol w:w="136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162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服务项目名称</w:t>
            </w:r>
          </w:p>
        </w:tc>
        <w:tc>
          <w:tcPr>
            <w:tcW w:w="136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招标要求</w:t>
            </w:r>
          </w:p>
        </w:tc>
        <w:tc>
          <w:tcPr>
            <w:tcW w:w="136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投标实际响应</w:t>
            </w:r>
          </w:p>
        </w:tc>
        <w:tc>
          <w:tcPr>
            <w:tcW w:w="136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是否偏离</w:t>
            </w:r>
          </w:p>
        </w:tc>
        <w:tc>
          <w:tcPr>
            <w:tcW w:w="173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bl>
    <w:p>
      <w:pPr>
        <w:rPr>
          <w:rFonts w:ascii="宋体" w:hAnsi="宋体" w:eastAsia="宋体"/>
          <w:color w:val="auto"/>
          <w:sz w:val="21"/>
          <w:szCs w:val="21"/>
        </w:rPr>
      </w:pPr>
      <w:r>
        <w:rPr>
          <w:rFonts w:hint="eastAsia" w:ascii="宋体" w:hAnsi="宋体" w:eastAsia="宋体"/>
          <w:color w:val="auto"/>
          <w:sz w:val="21"/>
          <w:szCs w:val="21"/>
        </w:rPr>
        <w:t>投标人代表签字：</w:t>
      </w:r>
    </w:p>
    <w:p>
      <w:pPr>
        <w:rPr>
          <w:rFonts w:ascii="宋体" w:hAnsi="宋体" w:eastAsia="宋体"/>
          <w:color w:val="auto"/>
          <w:sz w:val="21"/>
          <w:szCs w:val="21"/>
        </w:rPr>
      </w:pPr>
      <w:r>
        <w:rPr>
          <w:rFonts w:hint="eastAsia" w:ascii="宋体" w:hAnsi="宋体" w:eastAsia="宋体"/>
          <w:color w:val="auto"/>
          <w:sz w:val="21"/>
          <w:szCs w:val="21"/>
        </w:rPr>
        <w:t>投标人盖章：</w:t>
      </w:r>
    </w:p>
    <w:p>
      <w:pPr>
        <w:rPr>
          <w:rFonts w:ascii="宋体" w:hAnsi="宋体" w:eastAsia="宋体"/>
          <w:color w:val="auto"/>
          <w:sz w:val="21"/>
          <w:szCs w:val="21"/>
        </w:rPr>
      </w:pPr>
    </w:p>
    <w:p>
      <w:pPr>
        <w:ind w:left="718" w:hanging="718" w:hangingChars="342"/>
        <w:rPr>
          <w:rFonts w:ascii="宋体" w:hAnsi="宋体" w:eastAsia="宋体"/>
          <w:color w:val="auto"/>
          <w:sz w:val="21"/>
          <w:szCs w:val="21"/>
        </w:rPr>
      </w:pPr>
      <w:r>
        <w:rPr>
          <w:rFonts w:hint="eastAsia" w:ascii="宋体" w:hAnsi="宋体" w:eastAsia="宋体"/>
          <w:color w:val="auto"/>
          <w:sz w:val="21"/>
          <w:szCs w:val="21"/>
        </w:rPr>
        <w:t>注：</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1、投标人应对照招标文件商务要求，说明已对招标文件的商务内容做出了实质性的响应，并申明与招标文件的偏差和例外。</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2、商务条款包括但不限于合格投标人资格、付款方式、履约保证金、完工期、售后服务、检验及验收、保险、争端的解决等要求。</w:t>
      </w: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r>
        <w:rPr>
          <w:color w:val="auto"/>
        </w:rPr>
        <w:br w:type="page"/>
      </w:r>
    </w:p>
    <w:p>
      <w:pPr>
        <w:pStyle w:val="4"/>
        <w:widowControl w:val="0"/>
        <w:overflowPunct w:val="0"/>
        <w:spacing w:before="0" w:after="0" w:line="240" w:lineRule="auto"/>
        <w:rPr>
          <w:rFonts w:ascii="宋体" w:hAnsi="宋体" w:eastAsia="宋体"/>
          <w:color w:val="auto"/>
          <w:sz w:val="21"/>
          <w:szCs w:val="21"/>
        </w:rPr>
      </w:pPr>
      <w:bookmarkStart w:id="106" w:name="_Toc18677"/>
      <w:r>
        <w:rPr>
          <w:rFonts w:hint="eastAsia" w:ascii="宋体" w:hAnsi="宋体" w:eastAsia="宋体"/>
          <w:color w:val="auto"/>
          <w:sz w:val="21"/>
          <w:szCs w:val="21"/>
        </w:rPr>
        <w:t>附件1</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 技术规格偏离表格式</w:t>
      </w:r>
      <w:bookmarkEnd w:id="106"/>
    </w:p>
    <w:p>
      <w:pPr>
        <w:jc w:val="center"/>
        <w:rPr>
          <w:rFonts w:ascii="黑体" w:eastAsia="黑体"/>
          <w:color w:val="auto"/>
          <w:sz w:val="28"/>
          <w:szCs w:val="28"/>
        </w:rPr>
      </w:pPr>
    </w:p>
    <w:p>
      <w:pPr>
        <w:jc w:val="center"/>
        <w:rPr>
          <w:rFonts w:ascii="黑体" w:eastAsia="黑体"/>
          <w:color w:val="auto"/>
          <w:sz w:val="28"/>
          <w:szCs w:val="28"/>
        </w:rPr>
      </w:pPr>
      <w:r>
        <w:rPr>
          <w:rFonts w:hint="eastAsia" w:ascii="黑体" w:eastAsia="黑体"/>
          <w:color w:val="auto"/>
          <w:sz w:val="28"/>
          <w:szCs w:val="28"/>
        </w:rPr>
        <w:t>技术规格偏离表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370"/>
        <w:gridCol w:w="149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1902"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服务项目名称</w:t>
            </w:r>
          </w:p>
        </w:tc>
        <w:tc>
          <w:tcPr>
            <w:tcW w:w="137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招标要求</w:t>
            </w:r>
          </w:p>
        </w:tc>
        <w:tc>
          <w:tcPr>
            <w:tcW w:w="137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投标实际响应</w:t>
            </w:r>
          </w:p>
        </w:tc>
        <w:tc>
          <w:tcPr>
            <w:tcW w:w="149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是否偏离</w:t>
            </w:r>
          </w:p>
        </w:tc>
        <w:tc>
          <w:tcPr>
            <w:tcW w:w="1544"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498"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bl>
    <w:p>
      <w:pPr>
        <w:rPr>
          <w:rFonts w:ascii="宋体" w:hAnsi="宋体" w:eastAsia="宋体"/>
          <w:color w:val="auto"/>
          <w:sz w:val="21"/>
          <w:szCs w:val="21"/>
        </w:rPr>
      </w:pPr>
      <w:r>
        <w:rPr>
          <w:rFonts w:hint="eastAsia" w:ascii="宋体" w:hAnsi="宋体" w:eastAsia="宋体"/>
          <w:color w:val="auto"/>
          <w:sz w:val="21"/>
          <w:szCs w:val="21"/>
        </w:rPr>
        <w:t>投标人代表签字：</w:t>
      </w:r>
    </w:p>
    <w:p>
      <w:pPr>
        <w:rPr>
          <w:rFonts w:ascii="宋体" w:hAnsi="宋体" w:eastAsia="宋体"/>
          <w:color w:val="auto"/>
          <w:sz w:val="21"/>
          <w:szCs w:val="21"/>
        </w:rPr>
      </w:pPr>
      <w:r>
        <w:rPr>
          <w:rFonts w:hint="eastAsia" w:ascii="宋体" w:hAnsi="宋体" w:eastAsia="宋体"/>
          <w:color w:val="auto"/>
          <w:sz w:val="21"/>
          <w:szCs w:val="21"/>
        </w:rPr>
        <w:t>投标人盖章：</w:t>
      </w:r>
    </w:p>
    <w:p>
      <w:pPr>
        <w:ind w:firstLine="178" w:firstLineChars="85"/>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注：</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1、偏离项中填写“正”、“负”或“无”，说明项中填写原因。</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pStyle w:val="4"/>
        <w:widowControl w:val="0"/>
        <w:overflowPunct w:val="0"/>
        <w:spacing w:before="0" w:after="0" w:line="240" w:lineRule="auto"/>
        <w:rPr>
          <w:rFonts w:hint="eastAsia" w:ascii="宋体" w:hAnsi="宋体" w:eastAsia="宋体"/>
          <w:color w:val="auto"/>
          <w:sz w:val="21"/>
          <w:szCs w:val="21"/>
          <w:lang w:eastAsia="zh-CN"/>
        </w:rPr>
      </w:pPr>
      <w:bookmarkStart w:id="107" w:name="_Toc17351"/>
      <w:bookmarkStart w:id="108" w:name="_Toc17691"/>
      <w:r>
        <w:rPr>
          <w:rFonts w:hint="eastAsia" w:ascii="宋体" w:hAnsi="宋体" w:eastAsia="宋体"/>
          <w:color w:val="auto"/>
          <w:sz w:val="21"/>
          <w:szCs w:val="21"/>
          <w:lang w:eastAsia="zh-CN"/>
        </w:rPr>
        <w:t>附件</w:t>
      </w:r>
      <w:r>
        <w:rPr>
          <w:rFonts w:hint="eastAsia" w:ascii="宋体" w:hAnsi="宋体" w:eastAsia="宋体"/>
          <w:color w:val="auto"/>
          <w:sz w:val="21"/>
          <w:szCs w:val="21"/>
          <w:lang w:val="en-US" w:eastAsia="zh-CN"/>
        </w:rPr>
        <w:t>12.</w:t>
      </w:r>
      <w:r>
        <w:rPr>
          <w:rFonts w:hint="eastAsia" w:ascii="宋体" w:hAnsi="宋体" w:eastAsia="宋体"/>
          <w:color w:val="auto"/>
          <w:sz w:val="21"/>
          <w:szCs w:val="21"/>
          <w:lang w:eastAsia="zh-CN"/>
        </w:rPr>
        <w:t>重要技术参数（</w:t>
      </w:r>
      <w:r>
        <w:rPr>
          <w:rFonts w:hint="eastAsia" w:ascii="宋体" w:hAnsi="宋体" w:eastAsia="宋体"/>
          <w:color w:val="auto"/>
          <w:sz w:val="21"/>
          <w:szCs w:val="21"/>
        </w:rPr>
        <w:t>▲</w:t>
      </w:r>
      <w:r>
        <w:rPr>
          <w:rFonts w:hint="eastAsia" w:ascii="宋体" w:hAnsi="宋体" w:eastAsia="宋体"/>
          <w:color w:val="auto"/>
          <w:sz w:val="21"/>
          <w:szCs w:val="21"/>
          <w:lang w:eastAsia="zh-CN"/>
        </w:rPr>
        <w:t>）响应表</w:t>
      </w:r>
      <w:bookmarkEnd w:id="107"/>
      <w:bookmarkEnd w:id="108"/>
    </w:p>
    <w:p>
      <w:pPr>
        <w:pStyle w:val="4"/>
        <w:widowControl w:val="0"/>
        <w:overflowPunct w:val="0"/>
        <w:spacing w:before="0" w:after="0" w:line="240" w:lineRule="auto"/>
        <w:jc w:val="center"/>
        <w:rPr>
          <w:rFonts w:hint="eastAsia" w:ascii="宋体" w:hAnsi="宋体" w:eastAsia="宋体" w:cs="Times New Roman"/>
          <w:b w:val="0"/>
          <w:bCs w:val="0"/>
          <w:color w:val="auto"/>
          <w:sz w:val="32"/>
          <w:szCs w:val="32"/>
          <w:lang w:eastAsia="zh-CN"/>
        </w:rPr>
      </w:pPr>
    </w:p>
    <w:p>
      <w:pPr>
        <w:pStyle w:val="4"/>
        <w:widowControl w:val="0"/>
        <w:overflowPunct w:val="0"/>
        <w:spacing w:before="0" w:after="0" w:line="240" w:lineRule="auto"/>
        <w:jc w:val="center"/>
        <w:rPr>
          <w:rFonts w:hint="eastAsia" w:ascii="宋体" w:hAnsi="宋体" w:eastAsia="宋体" w:cs="Times New Roman"/>
          <w:b w:val="0"/>
          <w:bCs w:val="0"/>
          <w:color w:val="auto"/>
          <w:sz w:val="32"/>
          <w:szCs w:val="32"/>
          <w:lang w:eastAsia="zh-CN"/>
        </w:rPr>
      </w:pPr>
      <w:bookmarkStart w:id="109" w:name="_Toc1274"/>
      <w:bookmarkStart w:id="110" w:name="_Toc4464"/>
      <w:bookmarkStart w:id="111" w:name="_Toc26078"/>
      <w:bookmarkStart w:id="112" w:name="_Toc18668"/>
      <w:bookmarkStart w:id="113" w:name="_Toc4827"/>
      <w:r>
        <w:rPr>
          <w:rFonts w:hint="eastAsia" w:ascii="宋体" w:hAnsi="宋体" w:eastAsia="宋体" w:cs="Times New Roman"/>
          <w:b w:val="0"/>
          <w:bCs w:val="0"/>
          <w:color w:val="auto"/>
          <w:sz w:val="32"/>
          <w:szCs w:val="32"/>
          <w:lang w:eastAsia="zh-CN"/>
        </w:rPr>
        <w:t>重要技术参数（▲）响应表</w:t>
      </w:r>
      <w:bookmarkEnd w:id="109"/>
      <w:bookmarkEnd w:id="110"/>
      <w:bookmarkEnd w:id="111"/>
      <w:bookmarkEnd w:id="112"/>
      <w:bookmarkEnd w:id="113"/>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lang w:eastAsia="zh-CN"/>
              </w:rPr>
            </w:pPr>
            <w:bookmarkStart w:id="114" w:name="_Toc12049"/>
            <w:bookmarkStart w:id="115" w:name="_Toc10045"/>
            <w:bookmarkStart w:id="116" w:name="_Toc16872"/>
            <w:bookmarkStart w:id="117" w:name="_Toc15903"/>
            <w:bookmarkStart w:id="118" w:name="_Toc14815"/>
            <w:r>
              <w:rPr>
                <w:rFonts w:hint="eastAsia" w:ascii="宋体" w:hAnsi="宋体" w:eastAsia="宋体" w:cs="Times New Roman"/>
                <w:color w:val="auto"/>
                <w:sz w:val="21"/>
                <w:szCs w:val="21"/>
                <w:vertAlign w:val="baseline"/>
                <w:lang w:eastAsia="zh-CN"/>
              </w:rPr>
              <w:t>技术参数（▲）</w:t>
            </w:r>
            <w:bookmarkEnd w:id="114"/>
            <w:bookmarkEnd w:id="115"/>
            <w:bookmarkEnd w:id="116"/>
            <w:bookmarkEnd w:id="117"/>
            <w:bookmarkEnd w:id="118"/>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lang w:eastAsia="zh-CN"/>
              </w:rPr>
            </w:pPr>
            <w:bookmarkStart w:id="119" w:name="_Toc8312"/>
            <w:bookmarkStart w:id="120" w:name="_Toc7333"/>
            <w:bookmarkStart w:id="121" w:name="_Toc21809"/>
            <w:bookmarkStart w:id="122" w:name="_Toc22879"/>
            <w:bookmarkStart w:id="123" w:name="_Toc24662"/>
            <w:r>
              <w:rPr>
                <w:rFonts w:hint="eastAsia" w:ascii="宋体" w:hAnsi="宋体" w:eastAsia="宋体" w:cs="Times New Roman"/>
                <w:color w:val="auto"/>
                <w:sz w:val="21"/>
                <w:szCs w:val="21"/>
                <w:vertAlign w:val="baseline"/>
                <w:lang w:eastAsia="zh-CN"/>
              </w:rPr>
              <w:t>是否响应</w:t>
            </w:r>
            <w:bookmarkEnd w:id="119"/>
            <w:bookmarkEnd w:id="120"/>
            <w:bookmarkEnd w:id="121"/>
            <w:bookmarkEnd w:id="122"/>
            <w:bookmarkEnd w:id="123"/>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lang w:eastAsia="zh-CN"/>
              </w:rPr>
            </w:pPr>
            <w:bookmarkStart w:id="124" w:name="_Toc20139"/>
            <w:bookmarkStart w:id="125" w:name="_Toc17642"/>
            <w:bookmarkStart w:id="126" w:name="_Toc27185"/>
            <w:bookmarkStart w:id="127" w:name="_Toc20820"/>
            <w:bookmarkStart w:id="128" w:name="_Toc1330"/>
            <w:r>
              <w:rPr>
                <w:rFonts w:hint="eastAsia" w:ascii="宋体" w:hAnsi="宋体" w:eastAsia="宋体" w:cs="Times New Roman"/>
                <w:color w:val="auto"/>
                <w:sz w:val="21"/>
                <w:szCs w:val="21"/>
                <w:vertAlign w:val="baseline"/>
                <w:lang w:eastAsia="zh-CN"/>
              </w:rPr>
              <w:t>页码范围</w:t>
            </w:r>
            <w:bookmarkEnd w:id="124"/>
            <w:bookmarkEnd w:id="125"/>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2"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c>
          <w:tcPr>
            <w:tcW w:w="2840" w:type="dxa"/>
            <w:vAlign w:val="center"/>
          </w:tcPr>
          <w:p>
            <w:pPr>
              <w:pStyle w:val="4"/>
              <w:widowControl w:val="0"/>
              <w:overflowPunct w:val="0"/>
              <w:spacing w:before="0" w:after="0" w:line="240" w:lineRule="auto"/>
              <w:jc w:val="center"/>
              <w:rPr>
                <w:rFonts w:hint="eastAsia" w:ascii="宋体" w:hAnsi="宋体" w:eastAsia="宋体" w:cs="Times New Roman"/>
                <w:color w:val="auto"/>
                <w:sz w:val="21"/>
                <w:szCs w:val="21"/>
                <w:vertAlign w:val="baseline"/>
              </w:rPr>
            </w:pPr>
          </w:p>
        </w:tc>
      </w:tr>
    </w:tbl>
    <w:p>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注：</w:t>
      </w:r>
    </w:p>
    <w:p>
      <w:pPr>
        <w:pStyle w:val="22"/>
        <w:keepNext w:val="0"/>
        <w:keepLines w:val="0"/>
        <w:pageBreakBefore w:val="0"/>
        <w:widowControl/>
        <w:numPr>
          <w:ilvl w:val="0"/>
          <w:numId w:val="8"/>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投标人可按项目的实际需要提供本表格。</w:t>
      </w:r>
    </w:p>
    <w:p>
      <w:pPr>
        <w:pStyle w:val="22"/>
        <w:keepNext w:val="0"/>
        <w:keepLines w:val="0"/>
        <w:pageBreakBefore w:val="0"/>
        <w:widowControl/>
        <w:numPr>
          <w:ilvl w:val="0"/>
          <w:numId w:val="8"/>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响应表</w:t>
      </w:r>
      <w:r>
        <w:rPr>
          <w:rFonts w:hint="eastAsia" w:ascii="宋体" w:hAnsi="宋体" w:eastAsia="宋体"/>
          <w:color w:val="auto"/>
          <w:sz w:val="21"/>
          <w:szCs w:val="21"/>
          <w:lang w:eastAsia="zh-CN"/>
        </w:rPr>
        <w:t>所列出的材料应为真实准确的，若文件需要，应提供相关证明材料复印件加盖公章。请勿提供虚假、过期材料，否则将依据相关规定严肃处理</w:t>
      </w:r>
    </w:p>
    <w:p>
      <w:pPr>
        <w:pStyle w:val="22"/>
        <w:keepNext w:val="0"/>
        <w:keepLines w:val="0"/>
        <w:pageBreakBefore w:val="0"/>
        <w:widowControl/>
        <w:numPr>
          <w:ilvl w:val="0"/>
          <w:numId w:val="8"/>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若招标文件有需求，投标文件未提供重要技术参数（</w:t>
      </w:r>
      <w:r>
        <w:rPr>
          <w:rFonts w:hint="eastAsia" w:ascii="宋体" w:hAnsi="宋体" w:eastAsia="宋体" w:cs="Times New Roman"/>
          <w:color w:val="auto"/>
          <w:sz w:val="21"/>
          <w:szCs w:val="21"/>
        </w:rPr>
        <w:t>▲</w:t>
      </w:r>
      <w:r>
        <w:rPr>
          <w:rFonts w:hint="eastAsia" w:ascii="宋体" w:hAnsi="宋体" w:eastAsia="宋体"/>
          <w:color w:val="auto"/>
          <w:sz w:val="21"/>
          <w:szCs w:val="21"/>
          <w:lang w:eastAsia="zh-CN"/>
        </w:rPr>
        <w:t>）响应表对投标人投标产生负面影响的，投标人自行承担后果。</w:t>
      </w:r>
    </w:p>
    <w:p>
      <w:pPr>
        <w:pStyle w:val="4"/>
        <w:widowControl w:val="0"/>
        <w:overflowPunct w:val="0"/>
        <w:spacing w:before="0" w:after="0" w:line="240" w:lineRule="auto"/>
        <w:jc w:val="left"/>
        <w:rPr>
          <w:rFonts w:hint="eastAsia" w:ascii="宋体" w:hAnsi="宋体" w:eastAsia="宋体"/>
          <w:color w:val="auto"/>
          <w:sz w:val="21"/>
          <w:szCs w:val="21"/>
        </w:rPr>
      </w:pPr>
      <w:r>
        <w:rPr>
          <w:rFonts w:hint="eastAsia" w:ascii="宋体" w:hAnsi="宋体" w:eastAsia="宋体" w:cs="Times New Roman"/>
          <w:color w:val="auto"/>
          <w:sz w:val="21"/>
          <w:szCs w:val="21"/>
        </w:rPr>
        <w:br w:type="page"/>
      </w:r>
    </w:p>
    <w:p>
      <w:pPr>
        <w:pStyle w:val="4"/>
        <w:widowControl w:val="0"/>
        <w:overflowPunct w:val="0"/>
        <w:spacing w:before="0" w:after="0" w:line="240" w:lineRule="auto"/>
        <w:rPr>
          <w:rFonts w:hint="eastAsia" w:ascii="宋体" w:hAnsi="宋体" w:eastAsia="宋体"/>
          <w:color w:val="auto"/>
          <w:sz w:val="21"/>
          <w:szCs w:val="21"/>
          <w:lang w:eastAsia="zh-CN"/>
        </w:rPr>
      </w:pPr>
      <w:bookmarkStart w:id="129" w:name="_Toc328"/>
      <w:r>
        <w:rPr>
          <w:rFonts w:hint="eastAsia" w:ascii="宋体" w:hAnsi="宋体" w:eastAsia="宋体"/>
          <w:color w:val="auto"/>
          <w:sz w:val="21"/>
          <w:szCs w:val="21"/>
          <w:lang w:eastAsia="zh-CN"/>
        </w:rPr>
        <w:t>附件</w:t>
      </w:r>
      <w:r>
        <w:rPr>
          <w:rFonts w:hint="eastAsia" w:ascii="宋体" w:hAnsi="宋体" w:eastAsia="宋体"/>
          <w:color w:val="auto"/>
          <w:sz w:val="21"/>
          <w:szCs w:val="21"/>
          <w:lang w:val="en-US" w:eastAsia="zh-CN"/>
        </w:rPr>
        <w:t>13.</w:t>
      </w:r>
      <w:r>
        <w:rPr>
          <w:rFonts w:hint="eastAsia" w:ascii="宋体" w:hAnsi="宋体" w:eastAsia="宋体"/>
          <w:color w:val="auto"/>
          <w:sz w:val="21"/>
          <w:szCs w:val="21"/>
          <w:lang w:eastAsia="zh-CN"/>
        </w:rPr>
        <w:t>业绩表</w:t>
      </w:r>
      <w:bookmarkEnd w:id="129"/>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hint="eastAsia" w:ascii="宋体" w:hAnsi="宋体" w:eastAsia="宋体"/>
          <w:color w:val="auto"/>
          <w:sz w:val="30"/>
          <w:szCs w:val="30"/>
          <w:lang w:eastAsia="zh-CN"/>
        </w:rPr>
      </w:pPr>
      <w:r>
        <w:rPr>
          <w:rFonts w:hint="eastAsia" w:ascii="宋体" w:hAnsi="宋体" w:eastAsia="宋体"/>
          <w:color w:val="auto"/>
          <w:sz w:val="30"/>
          <w:szCs w:val="30"/>
          <w:lang w:eastAsia="zh-CN"/>
        </w:rPr>
        <w:t>业绩表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hint="eastAsia" w:ascii="宋体" w:hAnsi="宋体" w:eastAsia="宋体"/>
                <w:color w:val="auto"/>
                <w:sz w:val="21"/>
                <w:szCs w:val="21"/>
                <w:vertAlign w:val="baseline"/>
                <w:lang w:eastAsia="zh-CN"/>
              </w:rPr>
            </w:pPr>
            <w:r>
              <w:rPr>
                <w:rFonts w:hint="eastAsia" w:ascii="宋体" w:hAnsi="宋体" w:eastAsia="宋体"/>
                <w:color w:val="auto"/>
                <w:sz w:val="21"/>
                <w:szCs w:val="21"/>
                <w:vertAlign w:val="baseline"/>
                <w:lang w:eastAsia="zh-CN"/>
              </w:rPr>
              <w:t>项目名称</w:t>
            </w:r>
          </w:p>
        </w:tc>
        <w:tc>
          <w:tcPr>
            <w:tcW w:w="2840"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hint="eastAsia" w:ascii="宋体" w:hAnsi="宋体" w:eastAsia="宋体"/>
                <w:color w:val="auto"/>
                <w:sz w:val="21"/>
                <w:szCs w:val="21"/>
                <w:vertAlign w:val="baseline"/>
                <w:lang w:eastAsia="zh-CN"/>
              </w:rPr>
            </w:pPr>
            <w:r>
              <w:rPr>
                <w:rFonts w:hint="eastAsia" w:ascii="宋体" w:hAnsi="宋体" w:eastAsia="宋体"/>
                <w:color w:val="auto"/>
                <w:sz w:val="21"/>
                <w:szCs w:val="21"/>
                <w:vertAlign w:val="baseline"/>
                <w:lang w:eastAsia="zh-CN"/>
              </w:rPr>
              <w:t>项目金额</w:t>
            </w:r>
          </w:p>
        </w:tc>
        <w:tc>
          <w:tcPr>
            <w:tcW w:w="2842"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9"/>
              <w:rPr>
                <w:rFonts w:hint="eastAsia" w:ascii="宋体" w:hAnsi="宋体" w:eastAsia="宋体"/>
                <w:color w:val="auto"/>
                <w:sz w:val="21"/>
                <w:szCs w:val="21"/>
                <w:vertAlign w:val="baseline"/>
                <w:lang w:eastAsia="zh-CN"/>
              </w:rPr>
            </w:pPr>
            <w:r>
              <w:rPr>
                <w:rFonts w:hint="eastAsia" w:ascii="宋体" w:hAnsi="宋体" w:eastAsia="宋体"/>
                <w:color w:val="auto"/>
                <w:sz w:val="21"/>
                <w:szCs w:val="21"/>
                <w:vertAlign w:val="baseline"/>
                <w:lang w:eastAsia="zh-CN"/>
              </w:rPr>
              <w:t>项目合同签订时间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2"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2"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2"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2"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0"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c>
          <w:tcPr>
            <w:tcW w:w="2842" w:type="dxa"/>
          </w:tcPr>
          <w:p>
            <w:pPr>
              <w:keepNext w:val="0"/>
              <w:keepLines w:val="0"/>
              <w:pageBreakBefore w:val="0"/>
              <w:widowControl/>
              <w:kinsoku/>
              <w:wordWrap/>
              <w:overflowPunct/>
              <w:topLinePunct w:val="0"/>
              <w:autoSpaceDE/>
              <w:autoSpaceDN/>
              <w:bidi w:val="0"/>
              <w:adjustRightInd/>
              <w:snapToGrid/>
              <w:spacing w:after="0" w:line="240" w:lineRule="auto"/>
              <w:textAlignment w:val="auto"/>
              <w:outlineLvl w:val="9"/>
              <w:rPr>
                <w:rFonts w:ascii="宋体" w:hAnsi="宋体" w:eastAsia="宋体"/>
                <w:color w:val="auto"/>
                <w:sz w:val="21"/>
                <w:szCs w:val="21"/>
                <w:vertAlign w:val="baseline"/>
              </w:rPr>
            </w:pPr>
          </w:p>
        </w:tc>
      </w:tr>
    </w:tbl>
    <w:p>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注：</w:t>
      </w:r>
    </w:p>
    <w:p>
      <w:pPr>
        <w:pStyle w:val="22"/>
        <w:keepNext w:val="0"/>
        <w:keepLines w:val="0"/>
        <w:pageBreakBefore w:val="0"/>
        <w:widowControl/>
        <w:numPr>
          <w:ilvl w:val="0"/>
          <w:numId w:val="9"/>
        </w:numPr>
        <w:kinsoku/>
        <w:wordWrap/>
        <w:overflowPunct/>
        <w:topLinePunct w:val="0"/>
        <w:autoSpaceDE/>
        <w:autoSpaceDN/>
        <w:bidi w:val="0"/>
        <w:adjustRightInd w:val="0"/>
        <w:snapToGrid w:val="0"/>
        <w:spacing w:after="0"/>
        <w:ind w:leftChars="0" w:firstLine="420" w:firstLineChars="200"/>
        <w:textAlignment w:val="auto"/>
        <w:outlineLvl w:val="9"/>
        <w:rPr>
          <w:rFonts w:hint="eastAsia" w:ascii="宋体" w:hAnsi="宋体" w:eastAsia="宋体"/>
          <w:color w:val="auto"/>
          <w:sz w:val="21"/>
          <w:szCs w:val="21"/>
        </w:rPr>
      </w:pPr>
      <w:r>
        <w:rPr>
          <w:rFonts w:hint="eastAsia" w:ascii="宋体" w:hAnsi="宋体" w:eastAsia="宋体"/>
          <w:color w:val="auto"/>
          <w:sz w:val="21"/>
          <w:szCs w:val="21"/>
        </w:rPr>
        <w:t>该表格为参考格式，投标人可按实际情况自行制订。</w:t>
      </w:r>
    </w:p>
    <w:p>
      <w:pPr>
        <w:pStyle w:val="22"/>
        <w:keepNext w:val="0"/>
        <w:keepLines w:val="0"/>
        <w:pageBreakBefore w:val="0"/>
        <w:widowControl/>
        <w:numPr>
          <w:ilvl w:val="0"/>
          <w:numId w:val="9"/>
        </w:numPr>
        <w:kinsoku/>
        <w:wordWrap/>
        <w:overflowPunct/>
        <w:topLinePunct w:val="0"/>
        <w:autoSpaceDE/>
        <w:autoSpaceDN/>
        <w:bidi w:val="0"/>
        <w:adjustRightInd w:val="0"/>
        <w:snapToGrid w:val="0"/>
        <w:spacing w:after="0"/>
        <w:ind w:leftChars="0"/>
        <w:textAlignment w:val="auto"/>
        <w:outlineLvl w:val="9"/>
        <w:rPr>
          <w:rFonts w:hint="eastAsia" w:ascii="宋体" w:hAnsi="宋体" w:eastAsia="宋体"/>
          <w:color w:val="auto"/>
          <w:sz w:val="21"/>
          <w:szCs w:val="21"/>
          <w:lang w:eastAsia="zh-CN"/>
        </w:rPr>
      </w:pPr>
      <w:r>
        <w:rPr>
          <w:rFonts w:hint="eastAsia" w:ascii="宋体" w:hAnsi="宋体" w:eastAsia="宋体"/>
          <w:color w:val="auto"/>
          <w:sz w:val="21"/>
          <w:szCs w:val="21"/>
          <w:lang w:eastAsia="zh-CN"/>
        </w:rPr>
        <w:t>业绩表所列出的材料应为真实准确的，并应提供相关证明材料（包括但不限于合同、中标通知书等）复印件加盖公章。请勿提供虚假、过期材料，否则将依据相关规定严肃处理</w:t>
      </w:r>
    </w:p>
    <w:p>
      <w:pPr>
        <w:pStyle w:val="4"/>
        <w:widowControl w:val="0"/>
        <w:overflowPunct w:val="0"/>
        <w:spacing w:before="0" w:after="0" w:line="240" w:lineRule="auto"/>
        <w:rPr>
          <w:rFonts w:hint="eastAsia" w:ascii="宋体" w:hAnsi="宋体" w:eastAsia="宋体"/>
          <w:color w:val="auto"/>
          <w:sz w:val="21"/>
          <w:szCs w:val="21"/>
        </w:rPr>
      </w:pPr>
      <w:r>
        <w:rPr>
          <w:rFonts w:hint="eastAsia" w:ascii="宋体" w:hAnsi="宋体" w:eastAsia="宋体"/>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130" w:name="_Toc25973"/>
      <w:r>
        <w:rPr>
          <w:rFonts w:hint="eastAsia" w:ascii="宋体" w:hAnsi="宋体" w:eastAsia="宋体"/>
          <w:color w:val="auto"/>
          <w:sz w:val="21"/>
          <w:szCs w:val="21"/>
        </w:rPr>
        <w:t>附件1</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 项目实施方案格式</w:t>
      </w:r>
      <w:bookmarkEnd w:id="130"/>
    </w:p>
    <w:p>
      <w:pPr>
        <w:jc w:val="center"/>
        <w:rPr>
          <w:rFonts w:ascii="黑体" w:eastAsia="黑体"/>
          <w:color w:val="auto"/>
          <w:sz w:val="32"/>
          <w:szCs w:val="32"/>
        </w:rPr>
      </w:pPr>
    </w:p>
    <w:p>
      <w:pPr>
        <w:jc w:val="center"/>
        <w:rPr>
          <w:rFonts w:ascii="黑体" w:eastAsia="黑体"/>
          <w:color w:val="auto"/>
          <w:sz w:val="32"/>
          <w:szCs w:val="32"/>
        </w:rPr>
      </w:pPr>
      <w:r>
        <w:rPr>
          <w:rFonts w:hint="eastAsia" w:ascii="黑体" w:eastAsia="黑体"/>
          <w:color w:val="auto"/>
          <w:sz w:val="32"/>
          <w:szCs w:val="32"/>
        </w:rPr>
        <w:t>项目实施方案</w:t>
      </w:r>
    </w:p>
    <w:p>
      <w:pPr>
        <w:jc w:val="center"/>
        <w:rPr>
          <w:rFonts w:ascii="黑体" w:eastAsia="黑体"/>
          <w:color w:val="auto"/>
          <w:sz w:val="32"/>
          <w:szCs w:val="32"/>
        </w:rPr>
      </w:pP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1、为完成本项目投标人临时投入的设备</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3、投标人为本项目制定的具体项目实施方案与项目实施流程</w:t>
      </w:r>
    </w:p>
    <w:p>
      <w:pPr>
        <w:spacing w:after="0" w:line="360" w:lineRule="auto"/>
        <w:ind w:left="738" w:leftChars="200" w:hanging="298" w:hangingChars="142"/>
        <w:rPr>
          <w:rFonts w:hint="eastAsia" w:ascii="宋体" w:hAnsi="宋体" w:eastAsia="宋体"/>
          <w:color w:val="auto"/>
          <w:sz w:val="21"/>
          <w:szCs w:val="21"/>
          <w:lang w:eastAsia="zh-CN"/>
        </w:rPr>
      </w:pPr>
      <w:r>
        <w:rPr>
          <w:rFonts w:hint="eastAsia" w:ascii="宋体" w:hAnsi="宋体" w:eastAsia="宋体"/>
          <w:color w:val="auto"/>
          <w:sz w:val="21"/>
          <w:szCs w:val="21"/>
        </w:rPr>
        <w:t>4、</w:t>
      </w:r>
      <w:r>
        <w:rPr>
          <w:rFonts w:hint="eastAsia" w:ascii="宋体" w:hAnsi="宋体" w:eastAsia="宋体"/>
          <w:color w:val="auto"/>
          <w:sz w:val="21"/>
          <w:szCs w:val="21"/>
          <w:lang w:eastAsia="zh-CN"/>
        </w:rPr>
        <w:t>售后服务方案</w:t>
      </w:r>
    </w:p>
    <w:p>
      <w:pPr>
        <w:spacing w:after="0" w:line="360" w:lineRule="auto"/>
        <w:ind w:left="738" w:leftChars="200" w:hanging="298" w:hangingChars="142"/>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自行编写。</w:t>
      </w: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pStyle w:val="4"/>
        <w:widowControl w:val="0"/>
        <w:overflowPunct w:val="0"/>
        <w:spacing w:before="0" w:after="0" w:line="240" w:lineRule="auto"/>
        <w:rPr>
          <w:rFonts w:hint="eastAsia" w:ascii="宋体" w:hAnsi="宋体" w:eastAsia="宋体" w:cs="Times New Roman"/>
          <w:color w:val="auto"/>
          <w:sz w:val="21"/>
          <w:szCs w:val="21"/>
        </w:rPr>
      </w:pPr>
    </w:p>
    <w:p>
      <w:pPr>
        <w:spacing w:after="0" w:line="360" w:lineRule="auto"/>
        <w:ind w:left="738" w:leftChars="200" w:hanging="298" w:hangingChars="142"/>
        <w:rPr>
          <w:rFonts w:hint="eastAsia" w:ascii="宋体" w:hAnsi="宋体" w:eastAsia="宋体"/>
          <w:color w:val="auto"/>
          <w:sz w:val="21"/>
          <w:szCs w:val="21"/>
        </w:rPr>
      </w:pPr>
    </w:p>
    <w:p>
      <w:pPr>
        <w:spacing w:after="0" w:line="360" w:lineRule="auto"/>
        <w:ind w:left="738" w:leftChars="200" w:hanging="298" w:hangingChars="142"/>
        <w:rPr>
          <w:rFonts w:hint="eastAsia" w:ascii="宋体" w:hAnsi="宋体" w:eastAsia="宋体"/>
          <w:color w:val="auto"/>
          <w:sz w:val="21"/>
          <w:szCs w:val="21"/>
        </w:rPr>
      </w:pPr>
    </w:p>
    <w:p>
      <w:pPr>
        <w:spacing w:after="0" w:line="360" w:lineRule="auto"/>
        <w:ind w:left="738" w:leftChars="200" w:hanging="298" w:hangingChars="142"/>
        <w:rPr>
          <w:rFonts w:hint="eastAsia" w:ascii="宋体" w:hAnsi="宋体" w:eastAsia="宋体"/>
          <w:color w:val="auto"/>
          <w:sz w:val="21"/>
          <w:szCs w:val="21"/>
        </w:rPr>
      </w:pPr>
      <w:r>
        <w:rPr>
          <w:rFonts w:hint="eastAsia" w:ascii="宋体" w:hAnsi="宋体" w:eastAsia="宋体"/>
          <w:color w:val="auto"/>
          <w:sz w:val="21"/>
          <w:szCs w:val="21"/>
        </w:rPr>
        <w:t>投标人代表签字：</w:t>
      </w:r>
    </w:p>
    <w:p>
      <w:pPr>
        <w:spacing w:after="0" w:line="360" w:lineRule="auto"/>
        <w:ind w:left="738" w:leftChars="200" w:hanging="298" w:hangingChars="142"/>
        <w:rPr>
          <w:rFonts w:hint="eastAsia" w:ascii="宋体" w:hAnsi="宋体" w:eastAsia="宋体"/>
          <w:color w:val="auto"/>
          <w:sz w:val="21"/>
          <w:szCs w:val="21"/>
        </w:rPr>
      </w:pPr>
      <w:r>
        <w:rPr>
          <w:rFonts w:hint="eastAsia" w:ascii="宋体" w:hAnsi="宋体" w:eastAsia="宋体"/>
          <w:color w:val="auto"/>
          <w:sz w:val="21"/>
          <w:szCs w:val="21"/>
        </w:rPr>
        <w:t>投标人盖章：</w:t>
      </w:r>
    </w:p>
    <w:p>
      <w:pPr>
        <w:spacing w:after="0" w:line="360" w:lineRule="auto"/>
        <w:ind w:left="738" w:leftChars="200" w:hanging="298" w:hangingChars="142"/>
        <w:rPr>
          <w:rFonts w:hint="eastAsia" w:ascii="宋体" w:hAnsi="宋体" w:eastAsia="宋体"/>
          <w:color w:val="auto"/>
          <w:sz w:val="21"/>
          <w:szCs w:val="21"/>
        </w:rPr>
      </w:pPr>
      <w:r>
        <w:rPr>
          <w:rFonts w:hint="eastAsia" w:ascii="宋体" w:hAnsi="宋体" w:eastAsia="宋体"/>
          <w:color w:val="auto"/>
          <w:sz w:val="21"/>
          <w:szCs w:val="21"/>
        </w:rPr>
        <w:t>日期：</w:t>
      </w:r>
    </w:p>
    <w:p>
      <w:pPr>
        <w:pStyle w:val="4"/>
        <w:widowControl w:val="0"/>
        <w:overflowPunct w:val="0"/>
        <w:spacing w:before="0" w:after="0"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131" w:name="_Toc9811"/>
      <w:r>
        <w:rPr>
          <w:rFonts w:hint="eastAsia" w:ascii="宋体" w:hAnsi="宋体" w:eastAsia="宋体"/>
          <w:color w:val="auto"/>
          <w:sz w:val="21"/>
          <w:szCs w:val="21"/>
        </w:rPr>
        <w:t>附件1</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 实施本项目的有关人员资料表格式</w:t>
      </w:r>
      <w:bookmarkEnd w:id="131"/>
    </w:p>
    <w:p>
      <w:pPr>
        <w:jc w:val="center"/>
        <w:rPr>
          <w:rFonts w:ascii="宋体" w:hAnsi="宋体" w:eastAsia="宋体"/>
          <w:color w:val="auto"/>
          <w:sz w:val="21"/>
          <w:szCs w:val="21"/>
        </w:rPr>
      </w:pPr>
    </w:p>
    <w:p>
      <w:pPr>
        <w:jc w:val="center"/>
        <w:rPr>
          <w:rFonts w:ascii="黑体" w:eastAsia="黑体"/>
          <w:color w:val="auto"/>
          <w:sz w:val="32"/>
          <w:szCs w:val="32"/>
        </w:rPr>
      </w:pPr>
      <w:r>
        <w:rPr>
          <w:rFonts w:hint="eastAsia" w:ascii="黑体" w:eastAsia="黑体"/>
          <w:color w:val="auto"/>
          <w:sz w:val="32"/>
          <w:szCs w:val="32"/>
        </w:rPr>
        <w:t>实施本项目的有关人员资料表</w:t>
      </w:r>
    </w:p>
    <w:tbl>
      <w:tblPr>
        <w:tblStyle w:val="18"/>
        <w:tblW w:w="79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822"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姓名</w:t>
            </w:r>
          </w:p>
        </w:tc>
        <w:tc>
          <w:tcPr>
            <w:tcW w:w="1392"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本项目拟任岗位</w:t>
            </w:r>
          </w:p>
        </w:tc>
        <w:tc>
          <w:tcPr>
            <w:tcW w:w="763"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性别</w:t>
            </w:r>
          </w:p>
        </w:tc>
        <w:tc>
          <w:tcPr>
            <w:tcW w:w="70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年龄</w:t>
            </w:r>
          </w:p>
        </w:tc>
        <w:tc>
          <w:tcPr>
            <w:tcW w:w="851"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技术职称</w:t>
            </w:r>
          </w:p>
        </w:tc>
        <w:tc>
          <w:tcPr>
            <w:tcW w:w="85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专 业</w:t>
            </w:r>
          </w:p>
        </w:tc>
        <w:tc>
          <w:tcPr>
            <w:tcW w:w="78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资质证书</w:t>
            </w:r>
          </w:p>
        </w:tc>
        <w:tc>
          <w:tcPr>
            <w:tcW w:w="1090" w:type="dxa"/>
            <w:tcBorders>
              <w:right w:val="single" w:color="auto" w:sz="6"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bl>
    <w:p>
      <w:pPr>
        <w:ind w:firstLine="178" w:firstLineChars="85"/>
        <w:rPr>
          <w:rFonts w:ascii="宋体" w:hAnsi="宋体" w:eastAsia="宋体"/>
          <w:color w:val="auto"/>
          <w:sz w:val="21"/>
          <w:szCs w:val="21"/>
        </w:rPr>
      </w:pPr>
      <w:r>
        <w:rPr>
          <w:rFonts w:hint="eastAsia" w:ascii="宋体" w:hAnsi="宋体" w:eastAsia="宋体"/>
          <w:color w:val="auto"/>
          <w:sz w:val="21"/>
          <w:szCs w:val="21"/>
        </w:rPr>
        <w:t>附有关证明文件（复印件加盖公章）</w:t>
      </w:r>
    </w:p>
    <w:p>
      <w:pPr>
        <w:ind w:firstLine="178" w:firstLineChars="85"/>
        <w:rPr>
          <w:rFonts w:ascii="宋体" w:hAnsi="宋体" w:eastAsia="宋体"/>
          <w:color w:val="auto"/>
          <w:sz w:val="21"/>
          <w:szCs w:val="21"/>
        </w:rPr>
      </w:pPr>
      <w:r>
        <w:rPr>
          <w:rFonts w:hint="eastAsia" w:ascii="宋体" w:hAnsi="宋体" w:eastAsia="宋体"/>
          <w:color w:val="auto"/>
          <w:sz w:val="21"/>
          <w:szCs w:val="21"/>
        </w:rPr>
        <w:t>投标人代表签字：</w:t>
      </w:r>
    </w:p>
    <w:p>
      <w:pPr>
        <w:ind w:firstLine="178" w:firstLineChars="85"/>
        <w:rPr>
          <w:rFonts w:ascii="宋体" w:hAnsi="宋体" w:eastAsia="宋体"/>
          <w:color w:val="auto"/>
          <w:sz w:val="21"/>
          <w:szCs w:val="21"/>
        </w:rPr>
      </w:pPr>
      <w:r>
        <w:rPr>
          <w:rFonts w:hint="eastAsia" w:ascii="宋体" w:hAnsi="宋体" w:eastAsia="宋体"/>
          <w:color w:val="auto"/>
          <w:sz w:val="21"/>
          <w:szCs w:val="21"/>
        </w:rPr>
        <w:t>投标人盖章：</w:t>
      </w:r>
    </w:p>
    <w:p>
      <w:pPr>
        <w:rPr>
          <w:rFonts w:ascii="宋体" w:hAnsi="宋体" w:eastAsia="宋体"/>
          <w:color w:val="auto"/>
          <w:sz w:val="21"/>
          <w:szCs w:val="21"/>
        </w:rPr>
      </w:pPr>
      <w:r>
        <w:rPr>
          <w:rFonts w:hint="eastAsia" w:ascii="宋体" w:hAnsi="宋体" w:eastAsia="宋体"/>
          <w:color w:val="auto"/>
          <w:sz w:val="21"/>
          <w:szCs w:val="21"/>
        </w:rPr>
        <w:t>注：</w:t>
      </w:r>
    </w:p>
    <w:p>
      <w:pPr>
        <w:pStyle w:val="22"/>
        <w:numPr>
          <w:ilvl w:val="0"/>
          <w:numId w:val="10"/>
        </w:numPr>
        <w:ind w:firstLineChars="0"/>
        <w:rPr>
          <w:rFonts w:ascii="宋体" w:hAnsi="宋体" w:eastAsia="宋体"/>
          <w:color w:val="auto"/>
          <w:sz w:val="21"/>
          <w:szCs w:val="21"/>
        </w:rPr>
      </w:pPr>
      <w:r>
        <w:rPr>
          <w:rFonts w:hint="eastAsia" w:ascii="宋体" w:hAnsi="宋体" w:eastAsia="宋体"/>
          <w:color w:val="auto"/>
          <w:sz w:val="21"/>
          <w:szCs w:val="21"/>
        </w:rPr>
        <w:t>列入本表人员如要更换，需经采购人书面同意。擅自更换或不到位属违约行为。</w:t>
      </w:r>
    </w:p>
    <w:p>
      <w:pPr>
        <w:pStyle w:val="22"/>
        <w:numPr>
          <w:ilvl w:val="0"/>
          <w:numId w:val="10"/>
        </w:numPr>
        <w:ind w:firstLineChars="0"/>
        <w:rPr>
          <w:rFonts w:ascii="宋体" w:hAnsi="宋体" w:eastAsia="宋体"/>
          <w:color w:val="auto"/>
          <w:sz w:val="21"/>
          <w:szCs w:val="21"/>
        </w:rPr>
      </w:pPr>
      <w:r>
        <w:rPr>
          <w:rFonts w:hint="eastAsia" w:ascii="宋体" w:hAnsi="宋体" w:eastAsia="宋体"/>
          <w:color w:val="auto"/>
          <w:sz w:val="21"/>
          <w:szCs w:val="21"/>
        </w:rPr>
        <w:t>该表格为参考格式，投标人可按实际情况自行制订。</w:t>
      </w:r>
    </w:p>
    <w:p>
      <w:pPr>
        <w:pStyle w:val="4"/>
        <w:widowControl w:val="0"/>
        <w:overflowPunct w:val="0"/>
        <w:spacing w:before="0" w:after="0"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br w:type="page"/>
      </w:r>
    </w:p>
    <w:p>
      <w:pPr>
        <w:pStyle w:val="4"/>
        <w:widowControl w:val="0"/>
        <w:overflowPunct w:val="0"/>
        <w:spacing w:before="0" w:after="0" w:line="240" w:lineRule="auto"/>
        <w:rPr>
          <w:rFonts w:ascii="宋体" w:hAnsi="宋体" w:eastAsia="宋体"/>
          <w:color w:val="auto"/>
          <w:sz w:val="21"/>
          <w:szCs w:val="21"/>
        </w:rPr>
      </w:pPr>
      <w:bookmarkStart w:id="132" w:name="_Toc30582"/>
      <w:r>
        <w:rPr>
          <w:rFonts w:hint="eastAsia" w:ascii="宋体" w:hAnsi="宋体" w:eastAsia="宋体" w:cs="Times New Roman"/>
          <w:color w:val="auto"/>
          <w:sz w:val="21"/>
          <w:szCs w:val="21"/>
        </w:rPr>
        <w:t>附件</w:t>
      </w:r>
      <w:r>
        <w:rPr>
          <w:rFonts w:hint="eastAsia" w:ascii="宋体" w:hAnsi="宋体" w:eastAsia="宋体"/>
          <w:color w:val="auto"/>
          <w:sz w:val="21"/>
          <w:szCs w:val="21"/>
        </w:rPr>
        <w:t>1</w:t>
      </w:r>
      <w:r>
        <w:rPr>
          <w:rFonts w:hint="eastAsia" w:ascii="宋体" w:hAnsi="宋体" w:eastAsia="宋体"/>
          <w:color w:val="auto"/>
          <w:sz w:val="21"/>
          <w:szCs w:val="21"/>
          <w:lang w:val="en-US" w:eastAsia="zh-CN"/>
        </w:rPr>
        <w:t>6</w:t>
      </w:r>
      <w:r>
        <w:rPr>
          <w:rFonts w:hint="eastAsia" w:ascii="宋体" w:hAnsi="宋体" w:eastAsia="宋体" w:cs="Times New Roman"/>
          <w:color w:val="auto"/>
          <w:sz w:val="21"/>
          <w:szCs w:val="21"/>
        </w:rPr>
        <w:t>.投标货物说明一览表格式</w:t>
      </w:r>
      <w:bookmarkEnd w:id="132"/>
    </w:p>
    <w:p>
      <w:pPr>
        <w:jc w:val="center"/>
        <w:rPr>
          <w:rFonts w:ascii="黑体" w:eastAsia="黑体"/>
          <w:color w:val="auto"/>
          <w:sz w:val="28"/>
          <w:szCs w:val="28"/>
        </w:rPr>
      </w:pPr>
    </w:p>
    <w:p>
      <w:pPr>
        <w:jc w:val="center"/>
        <w:rPr>
          <w:rFonts w:ascii="黑体" w:eastAsia="黑体" w:cs="Times New Roman"/>
          <w:color w:val="auto"/>
          <w:sz w:val="28"/>
          <w:szCs w:val="28"/>
        </w:rPr>
      </w:pPr>
      <w:r>
        <w:rPr>
          <w:rFonts w:hint="eastAsia" w:ascii="黑体" w:eastAsia="黑体" w:cs="Times New Roman"/>
          <w:color w:val="auto"/>
          <w:sz w:val="28"/>
          <w:szCs w:val="28"/>
        </w:rPr>
        <w:t>投标货物说明一览表</w:t>
      </w:r>
    </w:p>
    <w:tbl>
      <w:tblPr>
        <w:tblStyle w:val="1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61"/>
        <w:gridCol w:w="1582"/>
        <w:gridCol w:w="1507"/>
        <w:gridCol w:w="1183"/>
        <w:gridCol w:w="932"/>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序号</w:t>
            </w:r>
          </w:p>
        </w:tc>
        <w:tc>
          <w:tcPr>
            <w:tcW w:w="1461"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货物名称</w:t>
            </w:r>
          </w:p>
        </w:tc>
        <w:tc>
          <w:tcPr>
            <w:tcW w:w="1582"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规格型号</w:t>
            </w:r>
          </w:p>
        </w:tc>
        <w:tc>
          <w:tcPr>
            <w:tcW w:w="1507"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品牌</w:t>
            </w:r>
          </w:p>
        </w:tc>
        <w:tc>
          <w:tcPr>
            <w:tcW w:w="1183"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数量</w:t>
            </w:r>
          </w:p>
        </w:tc>
        <w:tc>
          <w:tcPr>
            <w:tcW w:w="932"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交货期</w:t>
            </w:r>
          </w:p>
        </w:tc>
        <w:tc>
          <w:tcPr>
            <w:tcW w:w="1074"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783" w:type="dxa"/>
            <w:vAlign w:val="center"/>
          </w:tcPr>
          <w:p>
            <w:pPr>
              <w:spacing w:after="0"/>
              <w:jc w:val="center"/>
              <w:rPr>
                <w:rFonts w:ascii="宋体" w:hAnsi="宋体" w:eastAsia="宋体" w:cs="Times New Roman"/>
                <w:color w:val="auto"/>
                <w:sz w:val="21"/>
                <w:szCs w:val="21"/>
              </w:rPr>
            </w:pPr>
          </w:p>
        </w:tc>
        <w:tc>
          <w:tcPr>
            <w:tcW w:w="1461" w:type="dxa"/>
            <w:vAlign w:val="center"/>
          </w:tcPr>
          <w:p>
            <w:pPr>
              <w:spacing w:after="0"/>
              <w:jc w:val="center"/>
              <w:rPr>
                <w:rFonts w:ascii="宋体" w:hAnsi="宋体" w:eastAsia="宋体" w:cs="Times New Roman"/>
                <w:color w:val="auto"/>
                <w:sz w:val="21"/>
                <w:szCs w:val="21"/>
              </w:rPr>
            </w:pPr>
          </w:p>
        </w:tc>
        <w:tc>
          <w:tcPr>
            <w:tcW w:w="1582" w:type="dxa"/>
            <w:vAlign w:val="center"/>
          </w:tcPr>
          <w:p>
            <w:pPr>
              <w:spacing w:after="0"/>
              <w:jc w:val="center"/>
              <w:rPr>
                <w:rFonts w:ascii="宋体" w:hAnsi="宋体" w:eastAsia="宋体" w:cs="Times New Roman"/>
                <w:color w:val="auto"/>
                <w:sz w:val="21"/>
                <w:szCs w:val="21"/>
              </w:rPr>
            </w:pPr>
          </w:p>
        </w:tc>
        <w:tc>
          <w:tcPr>
            <w:tcW w:w="1507" w:type="dxa"/>
            <w:vAlign w:val="center"/>
          </w:tcPr>
          <w:p>
            <w:pPr>
              <w:spacing w:after="0"/>
              <w:jc w:val="center"/>
              <w:rPr>
                <w:rFonts w:ascii="宋体" w:hAnsi="宋体" w:eastAsia="宋体" w:cs="Times New Roman"/>
                <w:color w:val="auto"/>
                <w:sz w:val="21"/>
                <w:szCs w:val="21"/>
              </w:rPr>
            </w:pPr>
          </w:p>
        </w:tc>
        <w:tc>
          <w:tcPr>
            <w:tcW w:w="1183" w:type="dxa"/>
            <w:vAlign w:val="center"/>
          </w:tcPr>
          <w:p>
            <w:pPr>
              <w:spacing w:after="0"/>
              <w:jc w:val="center"/>
              <w:rPr>
                <w:rFonts w:ascii="宋体" w:hAnsi="宋体" w:eastAsia="宋体" w:cs="Times New Roman"/>
                <w:color w:val="auto"/>
                <w:sz w:val="21"/>
                <w:szCs w:val="21"/>
              </w:rPr>
            </w:pPr>
          </w:p>
        </w:tc>
        <w:tc>
          <w:tcPr>
            <w:tcW w:w="932" w:type="dxa"/>
            <w:vAlign w:val="center"/>
          </w:tcPr>
          <w:p>
            <w:pPr>
              <w:spacing w:after="0"/>
              <w:jc w:val="center"/>
              <w:rPr>
                <w:rFonts w:ascii="宋体" w:hAnsi="宋体" w:eastAsia="宋体" w:cs="Times New Roman"/>
                <w:color w:val="auto"/>
                <w:sz w:val="21"/>
                <w:szCs w:val="21"/>
              </w:rPr>
            </w:pPr>
          </w:p>
        </w:tc>
        <w:tc>
          <w:tcPr>
            <w:tcW w:w="1074" w:type="dxa"/>
            <w:vAlign w:val="center"/>
          </w:tcPr>
          <w:p>
            <w:pPr>
              <w:spacing w:after="0"/>
              <w:jc w:val="center"/>
              <w:rPr>
                <w:rFonts w:ascii="宋体" w:hAnsi="宋体" w:eastAsia="宋体" w:cs="Times New Roman"/>
                <w:color w:val="auto"/>
                <w:sz w:val="21"/>
                <w:szCs w:val="21"/>
              </w:rPr>
            </w:pPr>
          </w:p>
        </w:tc>
      </w:tr>
    </w:tbl>
    <w:p>
      <w:pPr>
        <w:spacing w:after="0"/>
        <w:rPr>
          <w:rFonts w:ascii="宋体" w:hAnsi="宋体" w:eastAsia="宋体" w:cs="Times New Roman"/>
          <w:color w:val="auto"/>
          <w:sz w:val="21"/>
          <w:szCs w:val="21"/>
        </w:rPr>
      </w:pPr>
    </w:p>
    <w:p>
      <w:pPr>
        <w:rPr>
          <w:rFonts w:ascii="宋体" w:hAnsi="宋体" w:eastAsia="宋体" w:cs="Times New Roman"/>
          <w:color w:val="auto"/>
          <w:sz w:val="21"/>
          <w:szCs w:val="21"/>
        </w:rPr>
      </w:pPr>
      <w:r>
        <w:rPr>
          <w:rFonts w:hint="eastAsia" w:ascii="宋体" w:hAnsi="宋体" w:eastAsia="宋体" w:cs="Times New Roman"/>
          <w:color w:val="auto"/>
          <w:sz w:val="21"/>
          <w:szCs w:val="21"/>
        </w:rPr>
        <w:t>投标人代表签字：</w:t>
      </w:r>
    </w:p>
    <w:p>
      <w:pPr>
        <w:rPr>
          <w:rFonts w:ascii="宋体" w:hAnsi="宋体" w:eastAsia="宋体" w:cs="Times New Roman"/>
          <w:color w:val="auto"/>
          <w:sz w:val="21"/>
          <w:szCs w:val="21"/>
        </w:rPr>
      </w:pPr>
      <w:r>
        <w:rPr>
          <w:rFonts w:hint="eastAsia" w:ascii="宋体" w:hAnsi="宋体" w:eastAsia="宋体" w:cs="Times New Roman"/>
          <w:color w:val="auto"/>
          <w:sz w:val="21"/>
          <w:szCs w:val="21"/>
        </w:rPr>
        <w:t>投标人盖章：</w:t>
      </w:r>
    </w:p>
    <w:p>
      <w:pPr>
        <w:rPr>
          <w:rFonts w:ascii="宋体" w:hAnsi="宋体" w:eastAsia="宋体" w:cs="Times New Roman"/>
          <w:color w:val="auto"/>
          <w:sz w:val="21"/>
          <w:szCs w:val="21"/>
        </w:rPr>
      </w:pPr>
    </w:p>
    <w:p>
      <w:pPr>
        <w:rPr>
          <w:rFonts w:ascii="宋体" w:hAnsi="宋体" w:eastAsia="宋体" w:cs="Times New Roman"/>
          <w:color w:val="auto"/>
          <w:sz w:val="21"/>
          <w:szCs w:val="21"/>
        </w:rPr>
      </w:pPr>
      <w:r>
        <w:rPr>
          <w:rFonts w:hint="eastAsia" w:ascii="宋体" w:hAnsi="宋体" w:eastAsia="宋体" w:cs="Times New Roman"/>
          <w:color w:val="auto"/>
          <w:sz w:val="21"/>
          <w:szCs w:val="21"/>
        </w:rPr>
        <w:t>注：</w:t>
      </w:r>
    </w:p>
    <w:p>
      <w:pPr>
        <w:pStyle w:val="22"/>
        <w:numPr>
          <w:ilvl w:val="0"/>
          <w:numId w:val="11"/>
        </w:numPr>
        <w:ind w:firstLineChars="0"/>
        <w:rPr>
          <w:rFonts w:ascii="宋体" w:hAnsi="宋体" w:eastAsia="宋体" w:cs="Times New Roman"/>
          <w:color w:val="auto"/>
          <w:sz w:val="21"/>
          <w:szCs w:val="21"/>
        </w:rPr>
      </w:pPr>
      <w:r>
        <w:rPr>
          <w:rFonts w:hint="eastAsia" w:ascii="宋体" w:hAnsi="宋体" w:eastAsia="宋体" w:cs="Times New Roman"/>
          <w:color w:val="auto"/>
          <w:sz w:val="21"/>
          <w:szCs w:val="21"/>
        </w:rPr>
        <w:t>各项货物详细技术性能应另页描述。</w:t>
      </w:r>
    </w:p>
    <w:p>
      <w:pPr>
        <w:pStyle w:val="22"/>
        <w:numPr>
          <w:ilvl w:val="0"/>
          <w:numId w:val="11"/>
        </w:numPr>
        <w:ind w:firstLineChars="0"/>
        <w:rPr>
          <w:rFonts w:ascii="宋体" w:hAnsi="宋体" w:eastAsia="宋体" w:cs="Times New Roman"/>
          <w:color w:val="auto"/>
          <w:sz w:val="21"/>
          <w:szCs w:val="21"/>
        </w:rPr>
      </w:pPr>
      <w:r>
        <w:rPr>
          <w:rFonts w:hint="eastAsia" w:ascii="宋体" w:hAnsi="宋体" w:eastAsia="宋体"/>
          <w:color w:val="auto"/>
          <w:sz w:val="21"/>
          <w:szCs w:val="21"/>
        </w:rPr>
        <w:t>该表格为参考格式，投标人可按实际情况自行制订。</w:t>
      </w:r>
    </w:p>
    <w:p>
      <w:pPr>
        <w:pStyle w:val="4"/>
        <w:widowControl w:val="0"/>
        <w:overflowPunct w:val="0"/>
        <w:spacing w:before="0" w:after="0" w:line="240" w:lineRule="auto"/>
        <w:rPr>
          <w:rFonts w:hint="eastAsia" w:ascii="宋体" w:hAnsi="宋体" w:eastAsia="宋体"/>
          <w:color w:val="auto"/>
          <w:sz w:val="21"/>
          <w:szCs w:val="21"/>
        </w:rPr>
      </w:pPr>
      <w:r>
        <w:rPr>
          <w:rFonts w:hint="eastAsia" w:ascii="宋体" w:hAnsi="宋体" w:eastAsia="宋体"/>
          <w:color w:val="auto"/>
          <w:sz w:val="21"/>
          <w:szCs w:val="21"/>
        </w:rPr>
        <w:br w:type="page"/>
      </w:r>
    </w:p>
    <w:p>
      <w:pPr>
        <w:pStyle w:val="4"/>
        <w:widowControl w:val="0"/>
        <w:overflowPunct w:val="0"/>
        <w:spacing w:before="0" w:after="0" w:line="240" w:lineRule="auto"/>
        <w:rPr>
          <w:rFonts w:ascii="楷体_GB2312" w:eastAsia="楷体_GB2312"/>
          <w:color w:val="auto"/>
          <w:sz w:val="24"/>
        </w:rPr>
      </w:pPr>
      <w:bookmarkStart w:id="133" w:name="_Toc29959"/>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17</w:t>
      </w:r>
      <w:r>
        <w:rPr>
          <w:rFonts w:hint="eastAsia" w:ascii="宋体" w:hAnsi="宋体" w:eastAsia="宋体"/>
          <w:color w:val="auto"/>
          <w:sz w:val="21"/>
          <w:szCs w:val="21"/>
        </w:rPr>
        <w:t>.在经营活动中没有重大违法记录的书面声明格式</w:t>
      </w:r>
      <w:bookmarkEnd w:id="133"/>
    </w:p>
    <w:p>
      <w:pPr>
        <w:rPr>
          <w:color w:val="auto"/>
        </w:rPr>
      </w:pPr>
    </w:p>
    <w:p>
      <w:pPr>
        <w:jc w:val="center"/>
        <w:rPr>
          <w:rFonts w:ascii="黑体" w:eastAsia="黑体"/>
          <w:color w:val="auto"/>
          <w:sz w:val="28"/>
          <w:szCs w:val="28"/>
        </w:rPr>
      </w:pPr>
      <w:r>
        <w:rPr>
          <w:rFonts w:hint="eastAsia" w:ascii="黑体" w:eastAsia="黑体"/>
          <w:color w:val="auto"/>
          <w:sz w:val="28"/>
          <w:szCs w:val="28"/>
        </w:rPr>
        <w:t>在经营活动中没有重大违法记录的书面声明</w:t>
      </w:r>
    </w:p>
    <w:p>
      <w:pPr>
        <w:pStyle w:val="25"/>
        <w:ind w:firstLine="0" w:firstLineChars="0"/>
        <w:jc w:val="center"/>
        <w:rPr>
          <w:rFonts w:ascii="微软雅黑" w:hAnsi="微软雅黑" w:eastAsia="微软雅黑" w:cs="微软雅黑"/>
          <w:b/>
          <w:color w:val="auto"/>
          <w:sz w:val="28"/>
        </w:rPr>
      </w:pPr>
    </w:p>
    <w:p>
      <w:pPr>
        <w:rPr>
          <w:rFonts w:ascii="宋体" w:hAnsi="宋体" w:eastAsia="宋体" w:cs="宋体"/>
          <w:color w:val="auto"/>
          <w:sz w:val="21"/>
          <w:szCs w:val="21"/>
        </w:rPr>
      </w:pPr>
      <w:r>
        <w:rPr>
          <w:rFonts w:hint="eastAsia" w:ascii="宋体" w:hAnsi="宋体" w:eastAsia="宋体" w:cs="宋体"/>
          <w:color w:val="auto"/>
          <w:sz w:val="21"/>
          <w:szCs w:val="21"/>
        </w:rPr>
        <w:t>致：广东三方诚信招标有限公司</w:t>
      </w:r>
    </w:p>
    <w:p>
      <w:pPr>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本公司参加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采购项目（采购编号：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）的政府采购活动，并声明：</w:t>
      </w:r>
    </w:p>
    <w:p>
      <w:pPr>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本公司参加本采购项目政府采购前三年内在经营活动中没有因违法经营受到刑事处罚或者责令停产停业、吊销许可证或者执照、较大数额罚款等行政处罚。</w:t>
      </w:r>
    </w:p>
    <w:p>
      <w:pPr>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    特此声明！</w:t>
      </w:r>
    </w:p>
    <w:p>
      <w:pPr>
        <w:ind w:firstLine="420" w:firstLineChars="200"/>
        <w:rPr>
          <w:rFonts w:ascii="宋体" w:hAnsi="宋体" w:eastAsia="宋体" w:cs="宋体"/>
          <w:color w:val="auto"/>
          <w:sz w:val="21"/>
          <w:szCs w:val="21"/>
        </w:rPr>
      </w:pPr>
    </w:p>
    <w:p>
      <w:pPr>
        <w:ind w:firstLine="420" w:firstLineChars="200"/>
        <w:rPr>
          <w:rFonts w:ascii="宋体" w:hAnsi="宋体" w:eastAsia="宋体" w:cs="宋体"/>
          <w:color w:val="auto"/>
          <w:sz w:val="21"/>
          <w:szCs w:val="21"/>
        </w:rPr>
      </w:pPr>
    </w:p>
    <w:p>
      <w:pPr>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投标人名称（加盖公章）：</w:t>
      </w:r>
    </w:p>
    <w:p>
      <w:pPr>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日期：</w:t>
      </w:r>
    </w:p>
    <w:p>
      <w:pPr>
        <w:rPr>
          <w:color w:val="auto"/>
        </w:rPr>
      </w:pPr>
    </w:p>
    <w:p>
      <w:pPr>
        <w:adjustRightInd/>
        <w:snapToGrid/>
        <w:spacing w:line="276" w:lineRule="auto"/>
        <w:rPr>
          <w:rFonts w:ascii="楷体_GB2312" w:eastAsia="楷体_GB2312" w:hAnsiTheme="majorHAnsi" w:cstheme="majorBidi"/>
          <w:b/>
          <w:bCs/>
          <w:color w:val="auto"/>
          <w:sz w:val="24"/>
          <w:szCs w:val="28"/>
        </w:rPr>
      </w:pPr>
      <w:bookmarkStart w:id="134" w:name="_Toc417907703"/>
      <w:r>
        <w:rPr>
          <w:rFonts w:ascii="楷体_GB2312" w:eastAsia="楷体_GB2312"/>
          <w:color w:val="auto"/>
          <w:sz w:val="24"/>
        </w:rPr>
        <w:br w:type="page"/>
      </w:r>
    </w:p>
    <w:p>
      <w:pPr>
        <w:pStyle w:val="4"/>
        <w:widowControl w:val="0"/>
        <w:overflowPunct w:val="0"/>
        <w:spacing w:before="0" w:after="0" w:line="240" w:lineRule="auto"/>
        <w:rPr>
          <w:color w:val="auto"/>
        </w:rPr>
      </w:pPr>
      <w:bookmarkStart w:id="135" w:name="_Toc25819"/>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18</w:t>
      </w:r>
      <w:r>
        <w:rPr>
          <w:rFonts w:hint="eastAsia" w:ascii="宋体" w:hAnsi="宋体" w:eastAsia="宋体"/>
          <w:color w:val="auto"/>
          <w:sz w:val="21"/>
          <w:szCs w:val="21"/>
        </w:rPr>
        <w:t>. 中小企业声明函（投标人为中小企业时适用）</w:t>
      </w:r>
      <w:bookmarkEnd w:id="134"/>
      <w:bookmarkEnd w:id="135"/>
    </w:p>
    <w:p>
      <w:pPr>
        <w:jc w:val="center"/>
        <w:rPr>
          <w:rFonts w:ascii="微软雅黑" w:hAnsi="微软雅黑" w:cs="微软雅黑"/>
          <w:b/>
          <w:color w:val="auto"/>
          <w:sz w:val="28"/>
          <w:szCs w:val="28"/>
        </w:rPr>
      </w:pPr>
    </w:p>
    <w:p>
      <w:pPr>
        <w:jc w:val="center"/>
        <w:rPr>
          <w:rFonts w:ascii="黑体" w:eastAsia="黑体"/>
          <w:color w:val="auto"/>
          <w:sz w:val="28"/>
          <w:szCs w:val="28"/>
        </w:rPr>
      </w:pPr>
      <w:r>
        <w:rPr>
          <w:rFonts w:hint="eastAsia" w:ascii="黑体" w:eastAsia="黑体"/>
          <w:color w:val="auto"/>
          <w:sz w:val="28"/>
          <w:szCs w:val="28"/>
        </w:rPr>
        <w:t>中小企业声明函</w:t>
      </w:r>
    </w:p>
    <w:p>
      <w:pPr>
        <w:ind w:firstLine="420" w:firstLineChars="200"/>
        <w:rPr>
          <w:rFonts w:ascii="宋体" w:hAnsi="宋体" w:eastAsia="宋体"/>
          <w:color w:val="auto"/>
          <w:sz w:val="21"/>
          <w:szCs w:val="21"/>
        </w:rPr>
      </w:pPr>
      <w:r>
        <w:rPr>
          <w:rFonts w:hint="eastAsia" w:ascii="宋体" w:hAnsi="宋体" w:eastAsia="宋体"/>
          <w:color w:val="auto"/>
          <w:sz w:val="21"/>
          <w:szCs w:val="21"/>
        </w:rPr>
        <w:t>本公司郑重声明，根据《政府采购促进中小企业发展暂行办法》（财库[2011]181号）的规定，本公司为</w:t>
      </w:r>
      <w:r>
        <w:rPr>
          <w:rFonts w:hint="eastAsia" w:ascii="宋体" w:hAnsi="宋体" w:eastAsia="宋体"/>
          <w:color w:val="auto"/>
          <w:sz w:val="21"/>
          <w:szCs w:val="21"/>
          <w:u w:val="single"/>
        </w:rPr>
        <w:t>　（请填写：中型、小型、微型）　</w:t>
      </w:r>
      <w:r>
        <w:rPr>
          <w:rFonts w:hint="eastAsia" w:ascii="宋体" w:hAnsi="宋体" w:eastAsia="宋体"/>
          <w:color w:val="auto"/>
          <w:sz w:val="21"/>
          <w:szCs w:val="21"/>
        </w:rPr>
        <w:t>企业。即，本公司同时满足以下条件：</w:t>
      </w:r>
    </w:p>
    <w:p>
      <w:pPr>
        <w:ind w:firstLine="420" w:firstLineChars="200"/>
        <w:rPr>
          <w:rFonts w:ascii="宋体" w:hAnsi="宋体" w:eastAsia="宋体"/>
          <w:color w:val="auto"/>
          <w:sz w:val="21"/>
          <w:szCs w:val="21"/>
        </w:rPr>
      </w:pPr>
      <w:r>
        <w:rPr>
          <w:rFonts w:hint="eastAsia" w:ascii="宋体" w:hAnsi="宋体" w:eastAsia="宋体"/>
          <w:color w:val="auto"/>
          <w:sz w:val="21"/>
          <w:szCs w:val="21"/>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olor w:val="auto"/>
          <w:sz w:val="21"/>
          <w:szCs w:val="21"/>
          <w:u w:val="single"/>
        </w:rPr>
        <w:t>　（请填写：中型、小型、微型）　</w:t>
      </w:r>
      <w:r>
        <w:rPr>
          <w:rFonts w:hint="eastAsia" w:ascii="宋体" w:hAnsi="宋体" w:eastAsia="宋体"/>
          <w:color w:val="auto"/>
          <w:sz w:val="21"/>
          <w:szCs w:val="21"/>
        </w:rPr>
        <w:t>企业。</w:t>
      </w:r>
    </w:p>
    <w:p>
      <w:pPr>
        <w:ind w:firstLine="420" w:firstLineChars="200"/>
        <w:rPr>
          <w:rFonts w:ascii="宋体" w:hAnsi="宋体" w:eastAsia="宋体"/>
          <w:color w:val="auto"/>
          <w:sz w:val="21"/>
          <w:szCs w:val="21"/>
        </w:rPr>
      </w:pPr>
      <w:r>
        <w:rPr>
          <w:rFonts w:hint="eastAsia" w:ascii="宋体" w:hAnsi="宋体" w:eastAsia="宋体"/>
          <w:color w:val="auto"/>
          <w:sz w:val="21"/>
          <w:szCs w:val="21"/>
        </w:rPr>
        <w:t>2、本公司参加</w:t>
      </w:r>
      <w:r>
        <w:rPr>
          <w:rFonts w:hint="eastAsia" w:ascii="宋体" w:hAnsi="宋体" w:eastAsia="宋体"/>
          <w:color w:val="auto"/>
          <w:sz w:val="21"/>
          <w:szCs w:val="21"/>
          <w:u w:val="single"/>
        </w:rPr>
        <w:t>　　（采购人）　　</w:t>
      </w:r>
      <w:r>
        <w:rPr>
          <w:rFonts w:hint="eastAsia" w:ascii="宋体" w:hAnsi="宋体" w:eastAsia="宋体"/>
          <w:color w:val="auto"/>
          <w:sz w:val="21"/>
          <w:szCs w:val="21"/>
        </w:rPr>
        <w:t>的</w:t>
      </w:r>
      <w:r>
        <w:rPr>
          <w:rFonts w:hint="eastAsia" w:ascii="宋体" w:hAnsi="宋体" w:eastAsia="宋体"/>
          <w:color w:val="auto"/>
          <w:sz w:val="21"/>
          <w:szCs w:val="21"/>
          <w:u w:val="single"/>
        </w:rPr>
        <w:t>　　（采购项目）　　</w:t>
      </w:r>
      <w:r>
        <w:rPr>
          <w:rFonts w:hint="eastAsia" w:ascii="宋体" w:hAnsi="宋体" w:eastAsia="宋体"/>
          <w:color w:val="auto"/>
          <w:sz w:val="21"/>
          <w:szCs w:val="21"/>
        </w:rPr>
        <w:t>采购活动提供本企业制造的货物，由本企业承担工程、提供服务，或者提供其他</w:t>
      </w:r>
      <w:r>
        <w:rPr>
          <w:rFonts w:hint="eastAsia" w:ascii="宋体" w:hAnsi="宋体" w:eastAsia="宋体"/>
          <w:color w:val="auto"/>
          <w:sz w:val="21"/>
          <w:szCs w:val="21"/>
          <w:u w:val="single"/>
        </w:rPr>
        <w:t>　（请填写：中型、小型、微型）　</w:t>
      </w:r>
      <w:r>
        <w:rPr>
          <w:rFonts w:hint="eastAsia" w:ascii="宋体" w:hAnsi="宋体" w:eastAsia="宋体"/>
          <w:color w:val="auto"/>
          <w:sz w:val="21"/>
          <w:szCs w:val="21"/>
        </w:rPr>
        <w:t>企业制造的货物。本条所称货物不包括使用大型企业注册商标的货物。</w:t>
      </w:r>
    </w:p>
    <w:p>
      <w:pPr>
        <w:ind w:firstLine="420" w:firstLineChars="200"/>
        <w:rPr>
          <w:rFonts w:ascii="宋体" w:hAnsi="宋体" w:eastAsia="宋体"/>
          <w:color w:val="auto"/>
          <w:sz w:val="21"/>
          <w:szCs w:val="21"/>
        </w:rPr>
      </w:pPr>
      <w:r>
        <w:rPr>
          <w:rFonts w:hint="eastAsia" w:ascii="宋体" w:hAnsi="宋体" w:eastAsia="宋体"/>
          <w:color w:val="auto"/>
          <w:sz w:val="21"/>
          <w:szCs w:val="21"/>
        </w:rPr>
        <w:t>本公司对上述声明的真实性负责。如有虚假，将依法承担相应责任。</w:t>
      </w:r>
    </w:p>
    <w:p>
      <w:pPr>
        <w:pStyle w:val="25"/>
        <w:ind w:firstLine="0" w:firstLineChars="0"/>
        <w:rPr>
          <w:rFonts w:ascii="宋体" w:eastAsia="宋体"/>
          <w:color w:val="auto"/>
          <w:sz w:val="21"/>
          <w:szCs w:val="21"/>
        </w:rPr>
      </w:pPr>
      <w:r>
        <w:rPr>
          <w:rFonts w:hint="eastAsia" w:ascii="宋体" w:eastAsia="宋体"/>
          <w:color w:val="auto"/>
          <w:sz w:val="21"/>
          <w:szCs w:val="21"/>
        </w:rPr>
        <w:t>投标人名称（加盖公章）：</w:t>
      </w:r>
    </w:p>
    <w:p>
      <w:pPr>
        <w:pStyle w:val="25"/>
        <w:ind w:firstLine="0" w:firstLineChars="0"/>
        <w:rPr>
          <w:rFonts w:ascii="宋体" w:eastAsia="宋体"/>
          <w:color w:val="auto"/>
          <w:sz w:val="21"/>
          <w:szCs w:val="21"/>
        </w:rPr>
      </w:pPr>
      <w:r>
        <w:rPr>
          <w:rFonts w:hint="eastAsia" w:ascii="宋体" w:eastAsia="宋体"/>
          <w:color w:val="auto"/>
          <w:sz w:val="21"/>
          <w:szCs w:val="21"/>
        </w:rPr>
        <w:t>日      期：</w:t>
      </w:r>
    </w:p>
    <w:p>
      <w:pPr>
        <w:rPr>
          <w:rFonts w:ascii="宋体" w:hAnsi="宋体" w:eastAsia="宋体"/>
          <w:color w:val="auto"/>
          <w:sz w:val="21"/>
          <w:szCs w:val="21"/>
        </w:rPr>
      </w:pPr>
      <w:r>
        <w:rPr>
          <w:rFonts w:hint="eastAsia" w:ascii="宋体" w:hAnsi="宋体" w:eastAsia="宋体"/>
          <w:color w:val="auto"/>
          <w:sz w:val="21"/>
          <w:szCs w:val="21"/>
        </w:rPr>
        <w:t>注：</w:t>
      </w:r>
    </w:p>
    <w:p>
      <w:pPr>
        <w:rPr>
          <w:rFonts w:ascii="宋体" w:hAnsi="宋体" w:eastAsia="宋体"/>
          <w:color w:val="auto"/>
          <w:sz w:val="21"/>
          <w:szCs w:val="21"/>
        </w:rPr>
      </w:pPr>
      <w:r>
        <w:rPr>
          <w:rFonts w:hint="eastAsia" w:ascii="宋体" w:hAnsi="宋体" w:eastAsia="宋体"/>
          <w:color w:val="auto"/>
          <w:sz w:val="21"/>
          <w:szCs w:val="21"/>
        </w:rPr>
        <w:t>1、投标人应根据《关于印发中小企业划型标准规定的通知》（工信部联企业[2011]300号）的有关规定提供（中型、小型、微型）企业划分的说明依据。（监狱企业视同小型、微型企业，监狱企业参加政府采购活动时，应当提供由省级以上监狱管理局、戒毒管理局(含新疆生产建设兵团)出具的属于监狱企业的证明文件）</w:t>
      </w:r>
    </w:p>
    <w:p>
      <w:pPr>
        <w:rPr>
          <w:rFonts w:ascii="宋体" w:hAnsi="宋体" w:eastAsia="宋体"/>
          <w:color w:val="auto"/>
          <w:sz w:val="21"/>
          <w:szCs w:val="21"/>
        </w:rPr>
      </w:pPr>
      <w:r>
        <w:rPr>
          <w:rFonts w:hint="eastAsia" w:ascii="宋体" w:hAnsi="宋体" w:eastAsia="宋体"/>
          <w:color w:val="auto"/>
          <w:sz w:val="21"/>
          <w:szCs w:val="21"/>
        </w:rPr>
        <w:t>2、小型或微型企业投标时须提交本函并注明企业类型，并按（工信部联企业[2011]300号）规定划型标准提供相应的证明材料，无提供证明的其小型或微型企业声明无效；</w:t>
      </w:r>
    </w:p>
    <w:p>
      <w:pPr>
        <w:rPr>
          <w:rFonts w:ascii="宋体" w:hAnsi="宋体" w:eastAsia="宋体"/>
          <w:color w:val="auto"/>
          <w:sz w:val="21"/>
          <w:szCs w:val="21"/>
        </w:rPr>
      </w:pPr>
      <w:r>
        <w:rPr>
          <w:rFonts w:hint="eastAsia" w:ascii="宋体" w:hAnsi="宋体" w:eastAsia="宋体"/>
          <w:color w:val="auto"/>
          <w:sz w:val="21"/>
          <w:szCs w:val="21"/>
        </w:rPr>
        <w:t>3、若投标人不属于规定的中小企业范围，或提供的产品不是中小企业制造的，请勿提交。</w:t>
      </w:r>
    </w:p>
    <w:p>
      <w:pPr>
        <w:rPr>
          <w:rFonts w:ascii="宋体" w:hAnsi="宋体" w:eastAsia="宋体"/>
          <w:color w:val="auto"/>
          <w:sz w:val="21"/>
          <w:szCs w:val="21"/>
        </w:rPr>
      </w:pPr>
      <w:r>
        <w:rPr>
          <w:rFonts w:hint="eastAsia" w:ascii="宋体" w:hAnsi="宋体" w:eastAsia="宋体"/>
          <w:color w:val="auto"/>
          <w:sz w:val="21"/>
          <w:szCs w:val="21"/>
        </w:rPr>
        <w:t>4、投标人应该在《报价明细表》中单独列明属于小型和微型企业产品（货物、承担的工程或者服务）的报价，若投标人只提供《中小企业声明函》但未列明小型或微型企业产品的，在计算价格得分时不予以相应的扣除。</w:t>
      </w:r>
    </w:p>
    <w:p>
      <w:pPr>
        <w:rPr>
          <w:rFonts w:ascii="楷体_GB2312" w:eastAsia="楷体_GB2312"/>
          <w:color w:val="auto"/>
          <w:sz w:val="24"/>
        </w:rPr>
      </w:pPr>
    </w:p>
    <w:p>
      <w:pPr>
        <w:rPr>
          <w:rFonts w:ascii="楷体_GB2312" w:eastAsia="楷体_GB2312"/>
          <w:color w:val="auto"/>
          <w:sz w:val="24"/>
        </w:rPr>
      </w:pPr>
    </w:p>
    <w:p>
      <w:pPr>
        <w:rPr>
          <w:rFonts w:ascii="楷体_GB2312" w:eastAsia="楷体_GB2312"/>
          <w:color w:val="auto"/>
          <w:sz w:val="24"/>
        </w:rPr>
      </w:pPr>
    </w:p>
    <w:p>
      <w:pPr>
        <w:adjustRightInd/>
        <w:snapToGrid/>
        <w:spacing w:line="276" w:lineRule="auto"/>
        <w:rPr>
          <w:rFonts w:ascii="楷体_GB2312" w:eastAsia="楷体_GB2312" w:hAnsiTheme="majorHAnsi" w:cstheme="majorBidi"/>
          <w:b/>
          <w:bCs/>
          <w:color w:val="auto"/>
          <w:sz w:val="24"/>
          <w:szCs w:val="28"/>
        </w:rPr>
      </w:pPr>
      <w:r>
        <w:rPr>
          <w:rFonts w:ascii="楷体_GB2312" w:eastAsia="楷体_GB2312"/>
          <w:color w:val="auto"/>
          <w:sz w:val="24"/>
        </w:rPr>
        <w:br w:type="page"/>
      </w:r>
    </w:p>
    <w:p>
      <w:pPr>
        <w:pStyle w:val="4"/>
        <w:widowControl w:val="0"/>
        <w:overflowPunct w:val="0"/>
        <w:spacing w:before="0" w:after="0" w:line="240" w:lineRule="auto"/>
        <w:rPr>
          <w:rFonts w:ascii="楷体_GB2312" w:eastAsia="楷体_GB2312"/>
          <w:color w:val="auto"/>
          <w:sz w:val="24"/>
        </w:rPr>
      </w:pPr>
      <w:bookmarkStart w:id="136" w:name="_Toc27000"/>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19</w:t>
      </w:r>
      <w:r>
        <w:rPr>
          <w:rFonts w:hint="eastAsia" w:ascii="宋体" w:hAnsi="宋体" w:eastAsia="宋体"/>
          <w:color w:val="auto"/>
          <w:sz w:val="21"/>
          <w:szCs w:val="21"/>
        </w:rPr>
        <w:t>.《残疾人福利性单位声明函》（残疾人福利性单位适用）</w:t>
      </w:r>
      <w:bookmarkEnd w:id="136"/>
    </w:p>
    <w:p>
      <w:pPr>
        <w:jc w:val="center"/>
        <w:rPr>
          <w:color w:val="auto"/>
        </w:rPr>
      </w:pPr>
    </w:p>
    <w:p>
      <w:pPr>
        <w:jc w:val="center"/>
        <w:rPr>
          <w:rFonts w:ascii="黑体" w:eastAsia="黑体"/>
          <w:color w:val="auto"/>
          <w:sz w:val="28"/>
          <w:szCs w:val="28"/>
        </w:rPr>
      </w:pPr>
      <w:r>
        <w:rPr>
          <w:rFonts w:hint="eastAsia" w:ascii="黑体" w:eastAsia="黑体"/>
          <w:color w:val="auto"/>
          <w:sz w:val="28"/>
          <w:szCs w:val="28"/>
        </w:rPr>
        <w:t>残疾人福利性单位声明函</w:t>
      </w:r>
    </w:p>
    <w:p>
      <w:pPr>
        <w:spacing w:line="588" w:lineRule="exact"/>
        <w:ind w:firstLine="444" w:firstLineChars="200"/>
        <w:rPr>
          <w:rFonts w:ascii="宋体" w:hAnsi="宋体" w:eastAsia="宋体"/>
          <w:color w:val="auto"/>
          <w:spacing w:val="6"/>
          <w:sz w:val="21"/>
          <w:szCs w:val="21"/>
        </w:rPr>
      </w:pPr>
      <w:r>
        <w:rPr>
          <w:rFonts w:hint="eastAsia" w:ascii="宋体" w:hAnsi="宋体" w:eastAsia="宋体"/>
          <w:color w:val="auto"/>
          <w:spacing w:val="6"/>
          <w:sz w:val="21"/>
          <w:szCs w:val="21"/>
        </w:rPr>
        <w:t>本单位郑重声明，根据《财政部 民政部 中国残疾人联合会关于促进残疾人就业政府采购政策的通知》（财库</w:t>
      </w:r>
      <w:r>
        <w:rPr>
          <w:rFonts w:hint="eastAsia" w:ascii="宋体" w:hAnsi="宋体" w:eastAsia="宋体"/>
          <w:color w:val="auto"/>
          <w:sz w:val="21"/>
          <w:szCs w:val="21"/>
        </w:rPr>
        <w:t>〔2017〕 141</w:t>
      </w:r>
      <w:r>
        <w:rPr>
          <w:rFonts w:hint="eastAsia" w:ascii="宋体" w:hAnsi="宋体" w:eastAsia="宋体"/>
          <w:color w:val="auto"/>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eastAsia="宋体"/>
          <w:color w:val="auto"/>
          <w:spacing w:val="6"/>
          <w:sz w:val="21"/>
          <w:szCs w:val="21"/>
        </w:rPr>
      </w:pPr>
      <w:r>
        <w:rPr>
          <w:rFonts w:hint="eastAsia" w:ascii="宋体" w:hAnsi="宋体" w:eastAsia="宋体"/>
          <w:color w:val="auto"/>
          <w:spacing w:val="6"/>
          <w:sz w:val="21"/>
          <w:szCs w:val="21"/>
        </w:rPr>
        <w:t>本单位对上述声明的真实性负责。如有虚假，将依法承担相应责任。</w:t>
      </w:r>
    </w:p>
    <w:p>
      <w:pPr>
        <w:spacing w:line="588" w:lineRule="exact"/>
        <w:rPr>
          <w:rFonts w:ascii="宋体" w:hAnsi="宋体" w:eastAsia="宋体"/>
          <w:color w:val="auto"/>
          <w:spacing w:val="6"/>
          <w:sz w:val="21"/>
          <w:szCs w:val="21"/>
        </w:rPr>
      </w:pPr>
    </w:p>
    <w:p>
      <w:pPr>
        <w:tabs>
          <w:tab w:val="left" w:pos="4860"/>
        </w:tabs>
        <w:spacing w:line="588" w:lineRule="exact"/>
        <w:ind w:right="1560" w:firstLine="444" w:firstLineChars="200"/>
        <w:jc w:val="center"/>
        <w:rPr>
          <w:rFonts w:ascii="宋体" w:hAnsi="宋体" w:eastAsia="宋体"/>
          <w:color w:val="auto"/>
          <w:spacing w:val="6"/>
          <w:sz w:val="21"/>
          <w:szCs w:val="21"/>
        </w:rPr>
      </w:pPr>
      <w:r>
        <w:rPr>
          <w:rFonts w:hint="eastAsia" w:ascii="宋体" w:hAnsi="宋体" w:eastAsia="宋体"/>
          <w:color w:val="auto"/>
          <w:spacing w:val="6"/>
          <w:sz w:val="21"/>
          <w:szCs w:val="21"/>
        </w:rPr>
        <w:t xml:space="preserve">                          单位名称（盖章）：</w:t>
      </w:r>
    </w:p>
    <w:p>
      <w:pPr>
        <w:spacing w:beforeLines="50" w:afterLines="50" w:line="360" w:lineRule="auto"/>
        <w:jc w:val="center"/>
        <w:outlineLvl w:val="2"/>
        <w:rPr>
          <w:rFonts w:ascii="宋体" w:hAnsi="宋体" w:eastAsia="宋体"/>
          <w:color w:val="auto"/>
          <w:spacing w:val="6"/>
          <w:sz w:val="21"/>
          <w:szCs w:val="21"/>
        </w:rPr>
      </w:pPr>
      <w:r>
        <w:rPr>
          <w:rFonts w:hint="eastAsia" w:ascii="宋体" w:hAnsi="宋体" w:eastAsia="宋体"/>
          <w:color w:val="auto"/>
          <w:spacing w:val="6"/>
          <w:sz w:val="21"/>
          <w:szCs w:val="21"/>
        </w:rPr>
        <w:t xml:space="preserve">                          </w:t>
      </w:r>
      <w:bookmarkStart w:id="137" w:name="_Toc509927455"/>
      <w:bookmarkStart w:id="138" w:name="_Toc20910"/>
      <w:bookmarkStart w:id="139" w:name="_Toc17761"/>
      <w:bookmarkStart w:id="140" w:name="_Toc508898066"/>
      <w:bookmarkStart w:id="141" w:name="_Toc22970"/>
      <w:bookmarkStart w:id="142" w:name="_Toc508958703"/>
      <w:bookmarkStart w:id="143" w:name="_Toc508960153"/>
      <w:bookmarkStart w:id="144" w:name="_Toc509479530"/>
      <w:bookmarkStart w:id="145" w:name="_Toc509844825"/>
      <w:bookmarkStart w:id="146" w:name="_Toc30277"/>
      <w:bookmarkStart w:id="147" w:name="_Toc510171693"/>
      <w:r>
        <w:rPr>
          <w:rFonts w:hint="eastAsia" w:ascii="宋体" w:hAnsi="宋体" w:eastAsia="宋体"/>
          <w:color w:val="auto"/>
          <w:spacing w:val="6"/>
          <w:sz w:val="21"/>
          <w:szCs w:val="21"/>
        </w:rPr>
        <w:t>日  期：</w:t>
      </w:r>
      <w:bookmarkEnd w:id="137"/>
      <w:bookmarkEnd w:id="138"/>
      <w:bookmarkEnd w:id="139"/>
      <w:bookmarkEnd w:id="140"/>
      <w:bookmarkEnd w:id="141"/>
      <w:bookmarkEnd w:id="142"/>
      <w:bookmarkEnd w:id="143"/>
      <w:bookmarkEnd w:id="144"/>
      <w:bookmarkEnd w:id="145"/>
      <w:bookmarkEnd w:id="146"/>
      <w:bookmarkEnd w:id="147"/>
    </w:p>
    <w:p>
      <w:pPr>
        <w:spacing w:beforeLines="50" w:afterLines="50"/>
        <w:outlineLvl w:val="2"/>
        <w:rPr>
          <w:rFonts w:ascii="宋体" w:hAnsi="宋体" w:eastAsia="宋体" w:cs="宋体"/>
          <w:color w:val="auto"/>
          <w:sz w:val="21"/>
          <w:szCs w:val="21"/>
        </w:rPr>
      </w:pPr>
    </w:p>
    <w:p>
      <w:pPr>
        <w:spacing w:beforeLines="50" w:afterLines="50"/>
        <w:outlineLvl w:val="2"/>
        <w:rPr>
          <w:rFonts w:ascii="宋体" w:hAnsi="宋体" w:eastAsia="宋体"/>
          <w:bCs/>
          <w:color w:val="auto"/>
          <w:sz w:val="21"/>
          <w:szCs w:val="21"/>
        </w:rPr>
      </w:pPr>
      <w:bookmarkStart w:id="148" w:name="_Toc510171694"/>
      <w:bookmarkStart w:id="149" w:name="_Toc28527"/>
      <w:bookmarkStart w:id="150" w:name="_Toc21053"/>
      <w:bookmarkStart w:id="151" w:name="_Toc508898067"/>
      <w:bookmarkStart w:id="152" w:name="_Toc508958704"/>
      <w:bookmarkStart w:id="153" w:name="_Toc26216"/>
      <w:bookmarkStart w:id="154" w:name="_Toc31520"/>
      <w:bookmarkStart w:id="155" w:name="_Toc508960154"/>
      <w:bookmarkStart w:id="156" w:name="_Toc509844826"/>
      <w:bookmarkStart w:id="157" w:name="_Toc509927456"/>
      <w:bookmarkStart w:id="158" w:name="_Toc509479531"/>
      <w:r>
        <w:rPr>
          <w:rFonts w:hint="eastAsia" w:ascii="宋体" w:hAnsi="宋体" w:eastAsia="宋体"/>
          <w:bCs/>
          <w:color w:val="auto"/>
          <w:sz w:val="21"/>
          <w:szCs w:val="21"/>
        </w:rPr>
        <w:t>注：（1）符合《财政部 民政部 中国残疾人联合会关于促进残疾人就业政府采购政策的通知》（财库〔2017〕 141号）规定条件的残疾人福利性单位应当提供《残疾人福利性单位声明函》。</w:t>
      </w:r>
      <w:bookmarkEnd w:id="148"/>
      <w:bookmarkEnd w:id="149"/>
      <w:bookmarkEnd w:id="150"/>
      <w:bookmarkEnd w:id="151"/>
      <w:bookmarkEnd w:id="152"/>
      <w:bookmarkEnd w:id="153"/>
      <w:bookmarkEnd w:id="154"/>
      <w:bookmarkEnd w:id="155"/>
      <w:bookmarkEnd w:id="156"/>
      <w:bookmarkEnd w:id="157"/>
      <w:bookmarkEnd w:id="158"/>
    </w:p>
    <w:p>
      <w:pPr>
        <w:spacing w:beforeLines="50" w:afterLines="50"/>
        <w:outlineLvl w:val="2"/>
        <w:rPr>
          <w:rFonts w:ascii="宋体" w:hAnsi="宋体" w:eastAsia="宋体"/>
          <w:bCs/>
          <w:color w:val="auto"/>
          <w:sz w:val="21"/>
          <w:szCs w:val="21"/>
        </w:rPr>
      </w:pPr>
      <w:bookmarkStart w:id="159" w:name="_Toc28126"/>
      <w:bookmarkStart w:id="160" w:name="_Toc508958705"/>
      <w:bookmarkStart w:id="161" w:name="_Toc508960155"/>
      <w:bookmarkStart w:id="162" w:name="_Toc509479532"/>
      <w:bookmarkStart w:id="163" w:name="_Toc509844827"/>
      <w:bookmarkStart w:id="164" w:name="_Toc28626"/>
      <w:bookmarkStart w:id="165" w:name="_Toc509927457"/>
      <w:bookmarkStart w:id="166" w:name="_Toc510171695"/>
      <w:bookmarkStart w:id="167" w:name="_Toc24848"/>
      <w:bookmarkStart w:id="168" w:name="_Toc14653"/>
      <w:bookmarkStart w:id="169" w:name="_Toc508898068"/>
      <w:r>
        <w:rPr>
          <w:rFonts w:hint="eastAsia" w:ascii="宋体" w:hAnsi="宋体" w:eastAsia="宋体"/>
          <w:bCs/>
          <w:color w:val="auto"/>
          <w:sz w:val="21"/>
          <w:szCs w:val="21"/>
        </w:rPr>
        <w:t>（2）中标人为残疾人福利性单位的，采购代理机构将随中标结果同时公告其《残疾人福利性单位声明函》，接受社会监督。</w:t>
      </w:r>
      <w:bookmarkEnd w:id="159"/>
      <w:bookmarkEnd w:id="160"/>
      <w:bookmarkEnd w:id="161"/>
      <w:bookmarkEnd w:id="162"/>
      <w:bookmarkEnd w:id="163"/>
      <w:bookmarkEnd w:id="164"/>
      <w:bookmarkEnd w:id="165"/>
      <w:bookmarkEnd w:id="166"/>
      <w:bookmarkEnd w:id="167"/>
      <w:bookmarkEnd w:id="168"/>
      <w:bookmarkEnd w:id="169"/>
    </w:p>
    <w:p>
      <w:pPr>
        <w:spacing w:beforeLines="50" w:afterLines="50"/>
        <w:outlineLvl w:val="2"/>
        <w:rPr>
          <w:rFonts w:ascii="宋体" w:hAnsi="宋体" w:eastAsia="宋体"/>
          <w:bCs/>
          <w:color w:val="auto"/>
          <w:sz w:val="21"/>
          <w:szCs w:val="21"/>
        </w:rPr>
      </w:pPr>
      <w:bookmarkStart w:id="170" w:name="_Toc509479533"/>
      <w:bookmarkStart w:id="171" w:name="_Toc509844828"/>
      <w:bookmarkStart w:id="172" w:name="_Toc510171696"/>
      <w:bookmarkStart w:id="173" w:name="_Toc7858"/>
      <w:bookmarkStart w:id="174" w:name="_Toc9837"/>
      <w:bookmarkStart w:id="175" w:name="_Toc22981"/>
      <w:bookmarkStart w:id="176" w:name="_Toc28044"/>
      <w:bookmarkStart w:id="177" w:name="_Toc508898069"/>
      <w:bookmarkStart w:id="178" w:name="_Toc508958706"/>
      <w:bookmarkStart w:id="179" w:name="_Toc508960156"/>
      <w:bookmarkStart w:id="180" w:name="_Toc509927458"/>
      <w:r>
        <w:rPr>
          <w:rFonts w:hint="eastAsia" w:ascii="宋体" w:hAnsi="宋体" w:eastAsia="宋体"/>
          <w:bCs/>
          <w:color w:val="auto"/>
          <w:sz w:val="21"/>
          <w:szCs w:val="21"/>
        </w:rPr>
        <w:t>（3）投标人提供的《残疾人福利性单位声明函》与事实不符的，依照《政府采购法》第七十七条第一款的规定追究法律责任。</w:t>
      </w:r>
      <w:bookmarkEnd w:id="170"/>
      <w:bookmarkEnd w:id="171"/>
      <w:bookmarkEnd w:id="172"/>
      <w:bookmarkEnd w:id="173"/>
      <w:bookmarkEnd w:id="174"/>
      <w:bookmarkEnd w:id="175"/>
      <w:bookmarkEnd w:id="176"/>
      <w:bookmarkEnd w:id="177"/>
      <w:bookmarkEnd w:id="178"/>
      <w:bookmarkEnd w:id="179"/>
      <w:bookmarkEnd w:id="180"/>
    </w:p>
    <w:p>
      <w:pPr>
        <w:adjustRightInd/>
        <w:snapToGrid/>
        <w:spacing w:line="276" w:lineRule="auto"/>
        <w:rPr>
          <w:rFonts w:hint="eastAsia" w:ascii="宋体" w:hAnsi="宋体" w:eastAsia="宋体"/>
          <w:bCs/>
          <w:color w:val="auto"/>
          <w:sz w:val="21"/>
          <w:szCs w:val="21"/>
        </w:rPr>
      </w:pPr>
      <w:bookmarkStart w:id="181" w:name="_Toc509844829"/>
      <w:bookmarkStart w:id="182" w:name="_Toc510171697"/>
      <w:bookmarkStart w:id="183" w:name="_Toc508898070"/>
      <w:bookmarkStart w:id="184" w:name="_Toc509927459"/>
      <w:bookmarkStart w:id="185" w:name="_Toc508960157"/>
      <w:bookmarkStart w:id="186" w:name="_Toc5289"/>
      <w:bookmarkStart w:id="187" w:name="_Toc18843"/>
      <w:bookmarkStart w:id="188" w:name="_Toc508958707"/>
      <w:bookmarkStart w:id="189" w:name="_Toc509479534"/>
      <w:r>
        <w:rPr>
          <w:rFonts w:hint="eastAsia" w:ascii="宋体" w:hAnsi="宋体" w:eastAsia="宋体"/>
          <w:bCs/>
          <w:color w:val="auto"/>
          <w:sz w:val="21"/>
          <w:szCs w:val="21"/>
        </w:rPr>
        <w:t>（4）残疾人福利性单位视同小型、微型企业，享受评审中价格扣除。残疾人福利性单位属于小型、微型企业的，不重复享受政策。</w:t>
      </w:r>
      <w:bookmarkEnd w:id="181"/>
      <w:bookmarkEnd w:id="182"/>
      <w:bookmarkEnd w:id="183"/>
      <w:bookmarkEnd w:id="184"/>
      <w:bookmarkEnd w:id="185"/>
      <w:bookmarkEnd w:id="186"/>
      <w:bookmarkEnd w:id="187"/>
      <w:bookmarkEnd w:id="188"/>
      <w:bookmarkEnd w:id="189"/>
    </w:p>
    <w:p>
      <w:pPr>
        <w:adjustRightInd/>
        <w:snapToGrid/>
        <w:spacing w:line="276" w:lineRule="auto"/>
        <w:rPr>
          <w:rFonts w:hint="eastAsia" w:ascii="宋体" w:hAnsi="宋体" w:eastAsia="宋体"/>
          <w:bCs/>
          <w:color w:val="auto"/>
          <w:sz w:val="21"/>
          <w:szCs w:val="21"/>
        </w:rPr>
      </w:pPr>
      <w:r>
        <w:rPr>
          <w:rFonts w:hint="eastAsia" w:ascii="宋体" w:hAnsi="宋体" w:eastAsia="宋体"/>
          <w:bCs/>
          <w:color w:val="auto"/>
          <w:sz w:val="21"/>
          <w:szCs w:val="21"/>
        </w:rPr>
        <w:br w:type="page"/>
      </w:r>
    </w:p>
    <w:p>
      <w:pPr>
        <w:pStyle w:val="4"/>
        <w:widowControl w:val="0"/>
        <w:overflowPunct w:val="0"/>
        <w:spacing w:before="0" w:after="0" w:line="240" w:lineRule="auto"/>
        <w:rPr>
          <w:color w:val="auto"/>
        </w:rPr>
      </w:pPr>
      <w:bookmarkStart w:id="190" w:name="_Toc18073"/>
      <w:r>
        <w:rPr>
          <w:rFonts w:hint="eastAsia" w:ascii="宋体" w:hAnsi="宋体" w:eastAsia="宋体"/>
          <w:color w:val="auto"/>
          <w:sz w:val="21"/>
          <w:szCs w:val="21"/>
        </w:rPr>
        <w:t>附件</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 投标保证金汇入情况说明格式</w:t>
      </w:r>
      <w:bookmarkEnd w:id="190"/>
    </w:p>
    <w:p>
      <w:pPr>
        <w:rPr>
          <w:color w:val="auto"/>
        </w:rPr>
      </w:pPr>
    </w:p>
    <w:p>
      <w:pPr>
        <w:jc w:val="center"/>
        <w:rPr>
          <w:rFonts w:ascii="黑体" w:eastAsia="黑体"/>
          <w:color w:val="auto"/>
          <w:sz w:val="28"/>
          <w:szCs w:val="28"/>
        </w:rPr>
      </w:pPr>
      <w:r>
        <w:rPr>
          <w:rFonts w:hint="eastAsia" w:ascii="黑体" w:eastAsia="黑体"/>
          <w:color w:val="auto"/>
          <w:sz w:val="28"/>
          <w:szCs w:val="28"/>
        </w:rPr>
        <w:t>投标保证金汇入情况说明</w:t>
      </w:r>
    </w:p>
    <w:p>
      <w:pPr>
        <w:spacing w:after="0"/>
        <w:rPr>
          <w:rFonts w:ascii="宋体" w:hAnsi="宋体" w:eastAsia="宋体"/>
          <w:color w:val="auto"/>
          <w:sz w:val="21"/>
          <w:szCs w:val="21"/>
        </w:rPr>
      </w:pPr>
      <w:r>
        <w:rPr>
          <w:rFonts w:hint="eastAsia" w:ascii="宋体" w:hAnsi="宋体" w:eastAsia="宋体"/>
          <w:color w:val="auto"/>
          <w:sz w:val="21"/>
          <w:szCs w:val="21"/>
        </w:rPr>
        <w:t>致：广东三方诚信招标有限公司：</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本单位已按</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项目</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包（采购编号：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）的招标文件要求，于</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日前以</w:t>
      </w:r>
      <w:r>
        <w:rPr>
          <w:rFonts w:hint="eastAsia" w:ascii="宋体" w:hAnsi="宋体" w:eastAsia="宋体"/>
          <w:color w:val="auto"/>
          <w:sz w:val="21"/>
          <w:szCs w:val="21"/>
          <w:u w:val="single"/>
        </w:rPr>
        <w:t xml:space="preserve">           （付款形式）</w:t>
      </w:r>
      <w:r>
        <w:rPr>
          <w:rFonts w:hint="eastAsia" w:ascii="宋体" w:hAnsi="宋体" w:eastAsia="宋体"/>
          <w:color w:val="auto"/>
          <w:sz w:val="21"/>
          <w:szCs w:val="21"/>
        </w:rPr>
        <w:t>方式汇入指定帐户（帐户名称：</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，帐号</w:t>
      </w:r>
      <w:r>
        <w:rPr>
          <w:rFonts w:hint="eastAsia" w:ascii="宋体" w:hAnsi="宋体" w:eastAsia="宋体"/>
          <w:color w:val="auto"/>
          <w:sz w:val="21"/>
          <w:szCs w:val="21"/>
          <w:lang w:eastAsia="zh-CN"/>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,开户银行：</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本单位投标保证金的汇款情况：（详见附件－投标保证金进帐单）</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汇出时间：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汇款金额：（大写）人民币</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元（小写：￥</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汇款帐户名称：</w:t>
      </w:r>
      <w:r>
        <w:rPr>
          <w:rFonts w:hint="eastAsia" w:ascii="宋体" w:hAnsi="宋体" w:eastAsia="宋体"/>
          <w:color w:val="auto"/>
          <w:sz w:val="21"/>
          <w:szCs w:val="21"/>
          <w:u w:val="single"/>
        </w:rPr>
        <w:t xml:space="preserve">  （必须是投标时使用的帐户名）   </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帐        号：</w:t>
      </w:r>
      <w:r>
        <w:rPr>
          <w:rFonts w:hint="eastAsia" w:ascii="宋体" w:hAnsi="宋体" w:eastAsia="宋体"/>
          <w:color w:val="auto"/>
          <w:sz w:val="21"/>
          <w:szCs w:val="21"/>
          <w:u w:val="single"/>
        </w:rPr>
        <w:t xml:space="preserve">  （必须是投标时使用的帐号）     </w:t>
      </w:r>
    </w:p>
    <w:p>
      <w:pPr>
        <w:spacing w:after="0"/>
        <w:ind w:firstLine="420" w:firstLineChars="200"/>
        <w:rPr>
          <w:rFonts w:ascii="宋体" w:hAnsi="宋体" w:eastAsia="宋体"/>
          <w:color w:val="auto"/>
          <w:sz w:val="21"/>
          <w:szCs w:val="21"/>
          <w:u w:val="single"/>
        </w:rPr>
      </w:pPr>
      <w:r>
        <w:rPr>
          <w:rFonts w:hint="eastAsia" w:ascii="宋体" w:hAnsi="宋体" w:eastAsia="宋体"/>
          <w:color w:val="auto"/>
          <w:sz w:val="21"/>
          <w:szCs w:val="21"/>
        </w:rPr>
        <w:t>开 户  银 行：</w:t>
      </w:r>
      <w:r>
        <w:rPr>
          <w:rFonts w:hint="eastAsia" w:ascii="宋体" w:hAnsi="宋体" w:eastAsia="宋体"/>
          <w:color w:val="auto"/>
          <w:sz w:val="21"/>
          <w:szCs w:val="21"/>
          <w:u w:val="single"/>
        </w:rPr>
        <w:t xml:space="preserve">  （      银行   分行  支行    ）</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本单位谨承诺上述资料是正确、真实的，如因上述证明与事实不符导致的一切损失，本单位保证承担赔偿等一切法律责任。</w:t>
      </w:r>
    </w:p>
    <w:p>
      <w:pPr>
        <w:spacing w:after="0"/>
        <w:ind w:firstLine="420" w:firstLineChars="200"/>
        <w:rPr>
          <w:rFonts w:ascii="宋体" w:hAnsi="宋体" w:eastAsia="宋体"/>
          <w:color w:val="auto"/>
          <w:sz w:val="21"/>
          <w:szCs w:val="21"/>
        </w:rPr>
      </w:pPr>
      <w:r>
        <w:rPr>
          <w:rFonts w:hint="eastAsia" w:ascii="宋体" w:hAnsi="宋体" w:eastAsia="宋体"/>
          <w:color w:val="auto"/>
          <w:sz w:val="21"/>
          <w:szCs w:val="21"/>
        </w:rPr>
        <w:t>投标保证金退回时，请按上述资料退回。</w:t>
      </w:r>
    </w:p>
    <w:p>
      <w:pPr>
        <w:spacing w:after="0" w:line="380" w:lineRule="exact"/>
        <w:ind w:right="884" w:rightChars="402"/>
        <w:jc w:val="right"/>
        <w:rPr>
          <w:rFonts w:ascii="宋体" w:hAnsi="宋体" w:eastAsia="宋体"/>
          <w:color w:val="auto"/>
          <w:sz w:val="21"/>
          <w:szCs w:val="21"/>
        </w:rPr>
      </w:pPr>
      <w:r>
        <w:rPr>
          <w:rFonts w:hint="eastAsia" w:ascii="宋体" w:hAnsi="宋体" w:eastAsia="宋体"/>
          <w:color w:val="auto"/>
          <w:sz w:val="21"/>
          <w:szCs w:val="21"/>
        </w:rPr>
        <w:t>（单位公章）</w:t>
      </w:r>
    </w:p>
    <w:p>
      <w:pPr>
        <w:spacing w:after="0" w:line="380" w:lineRule="exact"/>
        <w:ind w:right="658" w:rightChars="299"/>
        <w:jc w:val="right"/>
        <w:rPr>
          <w:rFonts w:ascii="宋体" w:hAnsi="宋体" w:eastAsia="宋体"/>
          <w:color w:val="auto"/>
          <w:sz w:val="21"/>
          <w:szCs w:val="21"/>
        </w:rPr>
      </w:pPr>
      <w:r>
        <w:rPr>
          <w:rFonts w:hint="eastAsia" w:ascii="宋体" w:hAnsi="宋体" w:eastAsia="宋体"/>
          <w:color w:val="auto"/>
          <w:sz w:val="21"/>
          <w:szCs w:val="21"/>
        </w:rPr>
        <w:t>年 月 日</w:t>
      </w:r>
    </w:p>
    <w:p>
      <w:pPr>
        <w:spacing w:after="0"/>
        <w:rPr>
          <w:rFonts w:ascii="宋体" w:hAnsi="宋体" w:eastAsia="宋体"/>
          <w:color w:val="auto"/>
          <w:sz w:val="21"/>
          <w:szCs w:val="21"/>
        </w:rPr>
      </w:pPr>
      <w:r>
        <w:rPr>
          <w:rFonts w:hint="eastAsia" w:ascii="宋体" w:hAnsi="宋体" w:eastAsia="宋体"/>
          <w:color w:val="auto"/>
          <w:sz w:val="21"/>
          <w:szCs w:val="21"/>
        </w:rPr>
        <w:t>单位名称：</w:t>
      </w:r>
      <w:r>
        <w:rPr>
          <w:rFonts w:hint="eastAsia" w:ascii="宋体" w:hAnsi="宋体" w:eastAsia="宋体"/>
          <w:color w:val="auto"/>
          <w:sz w:val="21"/>
          <w:szCs w:val="21"/>
          <w:u w:val="single"/>
        </w:rPr>
        <w:t xml:space="preserve">           </w:t>
      </w:r>
    </w:p>
    <w:p>
      <w:pPr>
        <w:spacing w:after="0"/>
        <w:rPr>
          <w:rFonts w:ascii="宋体" w:hAnsi="宋体" w:eastAsia="宋体"/>
          <w:color w:val="auto"/>
          <w:sz w:val="21"/>
          <w:szCs w:val="21"/>
        </w:rPr>
      </w:pPr>
      <w:r>
        <w:rPr>
          <w:rFonts w:hint="eastAsia" w:ascii="宋体" w:hAnsi="宋体" w:eastAsia="宋体"/>
          <w:color w:val="auto"/>
          <w:sz w:val="21"/>
          <w:szCs w:val="21"/>
        </w:rPr>
        <w:t>单位地址：</w:t>
      </w:r>
      <w:r>
        <w:rPr>
          <w:rFonts w:hint="eastAsia" w:ascii="宋体" w:hAnsi="宋体" w:eastAsia="宋体"/>
          <w:color w:val="auto"/>
          <w:sz w:val="21"/>
          <w:szCs w:val="21"/>
          <w:u w:val="single"/>
        </w:rPr>
        <w:t xml:space="preserve">           </w:t>
      </w:r>
    </w:p>
    <w:p>
      <w:pPr>
        <w:spacing w:after="0"/>
        <w:rPr>
          <w:rFonts w:ascii="宋体" w:hAnsi="宋体" w:eastAsia="宋体"/>
          <w:color w:val="auto"/>
          <w:sz w:val="21"/>
          <w:szCs w:val="21"/>
        </w:rPr>
      </w:pPr>
      <w:r>
        <w:rPr>
          <w:rFonts w:hint="eastAsia" w:ascii="宋体" w:hAnsi="宋体" w:eastAsia="宋体"/>
          <w:color w:val="auto"/>
          <w:sz w:val="21"/>
          <w:szCs w:val="21"/>
        </w:rPr>
        <w:t>联系人：</w:t>
      </w:r>
      <w:r>
        <w:rPr>
          <w:rFonts w:hint="eastAsia" w:ascii="宋体" w:hAnsi="宋体" w:eastAsia="宋体"/>
          <w:color w:val="auto"/>
          <w:sz w:val="21"/>
          <w:szCs w:val="21"/>
          <w:u w:val="single"/>
        </w:rPr>
        <w:t xml:space="preserve">                   </w:t>
      </w:r>
    </w:p>
    <w:p>
      <w:pPr>
        <w:spacing w:after="0"/>
        <w:rPr>
          <w:rFonts w:ascii="宋体" w:hAnsi="宋体" w:eastAsia="宋体"/>
          <w:color w:val="auto"/>
          <w:sz w:val="21"/>
          <w:szCs w:val="21"/>
        </w:rPr>
      </w:pPr>
      <w:r>
        <w:rPr>
          <w:rFonts w:hint="eastAsia" w:ascii="宋体" w:hAnsi="宋体" w:eastAsia="宋体"/>
          <w:color w:val="auto"/>
          <w:sz w:val="21"/>
          <w:szCs w:val="21"/>
        </w:rPr>
        <w:t>单位电话：</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联系人手机：</w:t>
      </w:r>
      <w:r>
        <w:rPr>
          <w:rFonts w:hint="eastAsia" w:ascii="宋体" w:hAnsi="宋体" w:eastAsia="宋体"/>
          <w:color w:val="auto"/>
          <w:sz w:val="21"/>
          <w:szCs w:val="21"/>
          <w:u w:val="single"/>
        </w:rPr>
        <w:t xml:space="preserve">              </w:t>
      </w:r>
    </w:p>
    <w:p>
      <w:pPr>
        <w:spacing w:after="0"/>
        <w:rPr>
          <w:rFonts w:ascii="宋体" w:hAnsi="宋体" w:eastAsia="宋体"/>
          <w:color w:val="auto"/>
          <w:sz w:val="21"/>
          <w:szCs w:val="21"/>
        </w:rPr>
      </w:pPr>
    </w:p>
    <w:p>
      <w:pPr>
        <w:spacing w:after="0" w:line="380" w:lineRule="exact"/>
        <w:ind w:firstLine="420" w:firstLineChars="200"/>
        <w:rPr>
          <w:rFonts w:ascii="宋体" w:hAnsi="宋体" w:eastAsia="宋体"/>
          <w:color w:val="auto"/>
          <w:sz w:val="21"/>
          <w:szCs w:val="21"/>
        </w:rPr>
      </w:pPr>
      <w:r>
        <w:rPr>
          <w:rFonts w:hint="eastAsia" w:ascii="宋体" w:hAnsi="宋体" w:eastAsia="宋体"/>
          <w:color w:val="auto"/>
          <w:sz w:val="21"/>
          <w:szCs w:val="21"/>
        </w:rPr>
        <w:t>附：我方投标保证金汇款凭证</w:t>
      </w:r>
    </w:p>
    <w:tbl>
      <w:tblPr>
        <w:tblStyle w:val="18"/>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rPr>
            </w:pPr>
            <w:r>
              <w:rPr>
                <w:rFonts w:hint="eastAsia" w:ascii="宋体" w:hAnsi="宋体" w:eastAsia="宋体"/>
                <w:color w:val="auto"/>
                <w:sz w:val="21"/>
                <w:szCs w:val="21"/>
              </w:rPr>
              <w:t>（粘贴汇款单或转账</w:t>
            </w:r>
            <w:r>
              <w:rPr>
                <w:rFonts w:ascii="宋体" w:hAnsi="宋体" w:eastAsia="宋体"/>
                <w:color w:val="auto"/>
                <w:sz w:val="21"/>
                <w:szCs w:val="21"/>
              </w:rPr>
              <w:t>凭证</w:t>
            </w:r>
            <w:r>
              <w:rPr>
                <w:rFonts w:hint="eastAsia" w:ascii="宋体" w:hAnsi="宋体" w:eastAsia="宋体"/>
                <w:color w:val="auto"/>
                <w:sz w:val="21"/>
                <w:szCs w:val="21"/>
              </w:rPr>
              <w:t>复印件，并在骑缝上加盖投标人公章，或是直接把转账</w:t>
            </w:r>
            <w:r>
              <w:rPr>
                <w:rFonts w:ascii="宋体" w:hAnsi="宋体" w:eastAsia="宋体"/>
                <w:color w:val="auto"/>
                <w:sz w:val="21"/>
                <w:szCs w:val="21"/>
              </w:rPr>
              <w:t>凭证</w:t>
            </w:r>
            <w:r>
              <w:rPr>
                <w:rFonts w:hint="eastAsia" w:ascii="宋体" w:hAnsi="宋体" w:eastAsia="宋体"/>
                <w:color w:val="auto"/>
                <w:sz w:val="21"/>
                <w:szCs w:val="21"/>
              </w:rPr>
              <w:t>复印到此张纸上）</w:t>
            </w:r>
          </w:p>
        </w:tc>
      </w:tr>
    </w:tbl>
    <w:p>
      <w:pPr>
        <w:rPr>
          <w:rFonts w:hint="eastAsia" w:ascii="宋体" w:hAnsi="宋体" w:eastAsia="宋体"/>
          <w:bCs/>
          <w:color w:val="auto"/>
          <w:sz w:val="21"/>
          <w:szCs w:val="21"/>
        </w:rPr>
      </w:pPr>
      <w:r>
        <w:rPr>
          <w:rFonts w:hint="eastAsia" w:ascii="宋体" w:hAnsi="宋体" w:eastAsia="宋体"/>
          <w:color w:val="auto"/>
          <w:sz w:val="21"/>
          <w:szCs w:val="21"/>
        </w:rPr>
        <w:t>注：</w:t>
      </w:r>
      <w:r>
        <w:rPr>
          <w:rFonts w:ascii="宋体" w:hAnsi="宋体" w:eastAsia="宋体"/>
          <w:color w:val="auto"/>
          <w:sz w:val="21"/>
          <w:szCs w:val="21"/>
        </w:rPr>
        <w:t>此表</w:t>
      </w:r>
      <w:r>
        <w:rPr>
          <w:rFonts w:hint="eastAsia" w:ascii="宋体" w:hAnsi="宋体" w:eastAsia="宋体"/>
          <w:color w:val="auto"/>
          <w:sz w:val="21"/>
          <w:szCs w:val="21"/>
        </w:rPr>
        <w:t>既要装订在投标文件中，又要按投标人须知的规定与开标一览表、投标保证金汇款底单复印件及授权委托书一同密封装入开标文件，开标文件单独提交。</w:t>
      </w:r>
    </w:p>
    <w:sectPr>
      <w:footerReference r:id="rId5" w:type="first"/>
      <w:footerReference r:id="rId4" w:type="default"/>
      <w:pgSz w:w="11906" w:h="16838"/>
      <w:pgMar w:top="1440" w:right="1800" w:bottom="1440" w:left="1800" w:header="708" w:footer="708" w:gutter="0"/>
      <w:pgNumType w:fmt="decimal"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7u1Bb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ywuV&#10;ygd3vY3YTW4yVTjCjoVxepnmuGlpPd7ec9br/7B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ru7UFugEAAFcDAAAOAAAAAAAAAAEAIAAAAB4BAABkcnMvZTJvRG9jLnhtbFBLBQYAAAAABgAG&#10;AFkBAABKBQAAAAA=&#10;">
              <v:fill on="f" focussize="0,0"/>
              <v:stroke on="f"/>
              <v:imagedata o:title=""/>
              <o:lock v:ext="edit" aspectratio="f"/>
              <v:textbox inset="0mm,0mm,0mm,0mm" style="mso-fit-shape-to-text:t;">
                <w:txbxContent>
                  <w:p>
                    <w:pPr>
                      <w:pStyle w:val="8"/>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 xml:space="preserve">     </w:t>
                          </w:r>
                          <w:r>
                            <w:rPr>
                              <w:rFonts w:hint="eastAsia"/>
                              <w:lang w:eastAsia="zh-CN"/>
                            </w:rPr>
                            <w:t xml:space="preserve">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ED5jvy5AQAAVwMAAA4AAAAAAAAAAQAgAAAAHgEAAGRycy9lMm9Eb2MueG1sUEsFBgAAAAAGAAYA&#10;WQEAAEkFAAAAAA==&#10;">
              <v:fill on="f" focussize="0,0"/>
              <v:stroke on="f"/>
              <v:imagedata o:title=""/>
              <o:lock v:ext="edit" aspectratio="f"/>
              <v:textbox inset="0mm,0mm,0mm,0mm" style="mso-fit-shape-to-text:t;">
                <w:txbxContent>
                  <w:p>
                    <w:pPr>
                      <w:pStyle w:val="8"/>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 xml:space="preserve">     </w:t>
                    </w:r>
                    <w:r>
                      <w:rPr>
                        <w:rFonts w:hint="eastAsia"/>
                        <w:lang w:eastAsia="zh-CN"/>
                      </w:rPr>
                      <w:t xml:space="preserve">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东莞市政府采购公开招标文件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D0047B7E"/>
    <w:multiLevelType w:val="singleLevel"/>
    <w:tmpl w:val="D0047B7E"/>
    <w:lvl w:ilvl="0" w:tentative="0">
      <w:start w:val="1"/>
      <w:numFmt w:val="decimal"/>
      <w:suff w:val="nothing"/>
      <w:lvlText w:val="%1、"/>
      <w:lvlJc w:val="left"/>
    </w:lvl>
  </w:abstractNum>
  <w:abstractNum w:abstractNumId="2">
    <w:nsid w:val="ED1F4942"/>
    <w:multiLevelType w:val="singleLevel"/>
    <w:tmpl w:val="ED1F4942"/>
    <w:lvl w:ilvl="0" w:tentative="0">
      <w:start w:val="5"/>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3F88662E"/>
    <w:multiLevelType w:val="singleLevel"/>
    <w:tmpl w:val="3F88662E"/>
    <w:lvl w:ilvl="0" w:tentative="0">
      <w:start w:val="1"/>
      <w:numFmt w:val="decimal"/>
      <w:suff w:val="space"/>
      <w:lvlText w:val="%1)"/>
      <w:lvlJc w:val="left"/>
    </w:lvl>
  </w:abstractNum>
  <w:abstractNum w:abstractNumId="6">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6DA3674F"/>
    <w:multiLevelType w:val="multilevel"/>
    <w:tmpl w:val="6DA367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D2BFF3"/>
    <w:multiLevelType w:val="singleLevel"/>
    <w:tmpl w:val="71D2BFF3"/>
    <w:lvl w:ilvl="0" w:tentative="0">
      <w:start w:val="1"/>
      <w:numFmt w:val="decimal"/>
      <w:suff w:val="nothing"/>
      <w:lvlText w:val="%1、"/>
      <w:lvlJc w:val="left"/>
    </w:lvl>
  </w:abstractNum>
  <w:num w:numId="1">
    <w:abstractNumId w:val="2"/>
  </w:num>
  <w:num w:numId="2">
    <w:abstractNumId w:val="6"/>
  </w:num>
  <w:num w:numId="3">
    <w:abstractNumId w:val="4"/>
  </w:num>
  <w:num w:numId="4">
    <w:abstractNumId w:val="8"/>
  </w:num>
  <w:num w:numId="5">
    <w:abstractNumId w:val="5"/>
  </w:num>
  <w:num w:numId="6">
    <w:abstractNumId w:val="3"/>
  </w:num>
  <w:num w:numId="7">
    <w:abstractNumId w:val="10"/>
  </w:num>
  <w:num w:numId="8">
    <w:abstractNumId w:val="0"/>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59411B"/>
    <w:rsid w:val="018023CE"/>
    <w:rsid w:val="01881AD6"/>
    <w:rsid w:val="02602392"/>
    <w:rsid w:val="02C16E5D"/>
    <w:rsid w:val="02D964CF"/>
    <w:rsid w:val="03A0770F"/>
    <w:rsid w:val="06BC41F2"/>
    <w:rsid w:val="07197D08"/>
    <w:rsid w:val="071E5C55"/>
    <w:rsid w:val="077005AB"/>
    <w:rsid w:val="08031A31"/>
    <w:rsid w:val="09061A75"/>
    <w:rsid w:val="09E2059A"/>
    <w:rsid w:val="0ABE2142"/>
    <w:rsid w:val="0ADA31EA"/>
    <w:rsid w:val="0AF47339"/>
    <w:rsid w:val="0B103067"/>
    <w:rsid w:val="0C2B4952"/>
    <w:rsid w:val="0DC64A00"/>
    <w:rsid w:val="0F7C5FF6"/>
    <w:rsid w:val="107B7B8F"/>
    <w:rsid w:val="10A949B8"/>
    <w:rsid w:val="11200D07"/>
    <w:rsid w:val="11DA73AF"/>
    <w:rsid w:val="12C60D80"/>
    <w:rsid w:val="131F7A3A"/>
    <w:rsid w:val="13455ABC"/>
    <w:rsid w:val="1370322B"/>
    <w:rsid w:val="13E9670D"/>
    <w:rsid w:val="140048BC"/>
    <w:rsid w:val="14892735"/>
    <w:rsid w:val="14CC769D"/>
    <w:rsid w:val="15D359D7"/>
    <w:rsid w:val="163C77BE"/>
    <w:rsid w:val="16994962"/>
    <w:rsid w:val="16AA24BF"/>
    <w:rsid w:val="17680CAB"/>
    <w:rsid w:val="17A5528F"/>
    <w:rsid w:val="17E62B67"/>
    <w:rsid w:val="181A2BF6"/>
    <w:rsid w:val="1A460CF5"/>
    <w:rsid w:val="1A584B3D"/>
    <w:rsid w:val="1B504A74"/>
    <w:rsid w:val="1C750ECE"/>
    <w:rsid w:val="1E010AF7"/>
    <w:rsid w:val="1E301173"/>
    <w:rsid w:val="204E554F"/>
    <w:rsid w:val="20590035"/>
    <w:rsid w:val="22336873"/>
    <w:rsid w:val="23BB4E7D"/>
    <w:rsid w:val="23F04F64"/>
    <w:rsid w:val="258C3BEC"/>
    <w:rsid w:val="26EE4D28"/>
    <w:rsid w:val="279664D8"/>
    <w:rsid w:val="27B36A67"/>
    <w:rsid w:val="28665C95"/>
    <w:rsid w:val="28A96814"/>
    <w:rsid w:val="290B3EB9"/>
    <w:rsid w:val="2950768C"/>
    <w:rsid w:val="297A5FC4"/>
    <w:rsid w:val="2A917B34"/>
    <w:rsid w:val="2AE3766F"/>
    <w:rsid w:val="2BB477F2"/>
    <w:rsid w:val="2D4458F2"/>
    <w:rsid w:val="2D4B5CEA"/>
    <w:rsid w:val="2DCA6355"/>
    <w:rsid w:val="2E053878"/>
    <w:rsid w:val="2E166748"/>
    <w:rsid w:val="2E8E20B4"/>
    <w:rsid w:val="2F000139"/>
    <w:rsid w:val="2F9F42DC"/>
    <w:rsid w:val="31E22C12"/>
    <w:rsid w:val="31FB39BA"/>
    <w:rsid w:val="32DC7F32"/>
    <w:rsid w:val="33DC2F78"/>
    <w:rsid w:val="3428227C"/>
    <w:rsid w:val="346B79C4"/>
    <w:rsid w:val="35602226"/>
    <w:rsid w:val="356B72E7"/>
    <w:rsid w:val="3572424F"/>
    <w:rsid w:val="37A103ED"/>
    <w:rsid w:val="37EA5E6E"/>
    <w:rsid w:val="37FF016F"/>
    <w:rsid w:val="38540323"/>
    <w:rsid w:val="394C3DBD"/>
    <w:rsid w:val="39C644F7"/>
    <w:rsid w:val="3A51228C"/>
    <w:rsid w:val="3D10295A"/>
    <w:rsid w:val="3D6024A3"/>
    <w:rsid w:val="3EE0245C"/>
    <w:rsid w:val="3F217914"/>
    <w:rsid w:val="3F67290C"/>
    <w:rsid w:val="3FE23142"/>
    <w:rsid w:val="401C5F9D"/>
    <w:rsid w:val="40984956"/>
    <w:rsid w:val="40CE3DC0"/>
    <w:rsid w:val="40E743E5"/>
    <w:rsid w:val="41734CBA"/>
    <w:rsid w:val="423E300F"/>
    <w:rsid w:val="42FD694D"/>
    <w:rsid w:val="43FA5777"/>
    <w:rsid w:val="443C440B"/>
    <w:rsid w:val="44FA2D53"/>
    <w:rsid w:val="451F2381"/>
    <w:rsid w:val="4571374F"/>
    <w:rsid w:val="458B1BB0"/>
    <w:rsid w:val="466342D0"/>
    <w:rsid w:val="46762B4D"/>
    <w:rsid w:val="467A0297"/>
    <w:rsid w:val="47553352"/>
    <w:rsid w:val="47F45687"/>
    <w:rsid w:val="482D31EA"/>
    <w:rsid w:val="48B65C71"/>
    <w:rsid w:val="48DB05FA"/>
    <w:rsid w:val="492E6A57"/>
    <w:rsid w:val="4B8C2DEB"/>
    <w:rsid w:val="4C7A2EE2"/>
    <w:rsid w:val="4CF36F3C"/>
    <w:rsid w:val="4D603399"/>
    <w:rsid w:val="4D867EE1"/>
    <w:rsid w:val="4E5F14CB"/>
    <w:rsid w:val="4E8131A1"/>
    <w:rsid w:val="4F3705F8"/>
    <w:rsid w:val="4FAC3540"/>
    <w:rsid w:val="4FCF1583"/>
    <w:rsid w:val="5096229D"/>
    <w:rsid w:val="5154059B"/>
    <w:rsid w:val="5237401D"/>
    <w:rsid w:val="52C20FE7"/>
    <w:rsid w:val="53AE750F"/>
    <w:rsid w:val="549A6BFA"/>
    <w:rsid w:val="54CD00A3"/>
    <w:rsid w:val="54ED1A50"/>
    <w:rsid w:val="565E7F4F"/>
    <w:rsid w:val="56F6149E"/>
    <w:rsid w:val="575753AC"/>
    <w:rsid w:val="58096275"/>
    <w:rsid w:val="582E6EF7"/>
    <w:rsid w:val="59996DA8"/>
    <w:rsid w:val="5B365CF7"/>
    <w:rsid w:val="5B4E1A44"/>
    <w:rsid w:val="5C446BC8"/>
    <w:rsid w:val="5C7C2768"/>
    <w:rsid w:val="5CB23AE6"/>
    <w:rsid w:val="5DFC5D31"/>
    <w:rsid w:val="5EA06921"/>
    <w:rsid w:val="5EA312F9"/>
    <w:rsid w:val="612E1A5D"/>
    <w:rsid w:val="61816046"/>
    <w:rsid w:val="62391564"/>
    <w:rsid w:val="62816669"/>
    <w:rsid w:val="62D531CF"/>
    <w:rsid w:val="63A10995"/>
    <w:rsid w:val="644C573D"/>
    <w:rsid w:val="65C60A92"/>
    <w:rsid w:val="692B2E4A"/>
    <w:rsid w:val="6ADE74F0"/>
    <w:rsid w:val="6B805156"/>
    <w:rsid w:val="6BD50977"/>
    <w:rsid w:val="6D3933CA"/>
    <w:rsid w:val="6DB93290"/>
    <w:rsid w:val="6E09491E"/>
    <w:rsid w:val="6E5F4465"/>
    <w:rsid w:val="6E8C54DA"/>
    <w:rsid w:val="6EF11E03"/>
    <w:rsid w:val="6F111C62"/>
    <w:rsid w:val="6F2176E5"/>
    <w:rsid w:val="6F592303"/>
    <w:rsid w:val="6FFB146E"/>
    <w:rsid w:val="715B60E9"/>
    <w:rsid w:val="71F33E63"/>
    <w:rsid w:val="730313F6"/>
    <w:rsid w:val="7336060D"/>
    <w:rsid w:val="73370D24"/>
    <w:rsid w:val="739503EB"/>
    <w:rsid w:val="73A05B28"/>
    <w:rsid w:val="73C07D69"/>
    <w:rsid w:val="74B42AE4"/>
    <w:rsid w:val="75614792"/>
    <w:rsid w:val="75F5173C"/>
    <w:rsid w:val="777E604F"/>
    <w:rsid w:val="77D85DB3"/>
    <w:rsid w:val="784671FB"/>
    <w:rsid w:val="78A50513"/>
    <w:rsid w:val="790A5D10"/>
    <w:rsid w:val="79AA0532"/>
    <w:rsid w:val="79FE1DDD"/>
    <w:rsid w:val="7BA908B7"/>
    <w:rsid w:val="7BF32F03"/>
    <w:rsid w:val="7C0B5568"/>
    <w:rsid w:val="7C1724A5"/>
    <w:rsid w:val="7CE50CE4"/>
    <w:rsid w:val="7D2E5ABF"/>
    <w:rsid w:val="7E24641A"/>
    <w:rsid w:val="7E7B0BF2"/>
    <w:rsid w:val="7E8D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tabs>
        <w:tab w:val="right" w:leader="dot" w:pos="8296"/>
      </w:tabs>
      <w:ind w:left="838" w:leftChars="381"/>
    </w:pPr>
    <w:rPr>
      <w:sz w:val="21"/>
      <w:szCs w:val="21"/>
    </w:rPr>
  </w:style>
  <w:style w:type="paragraph" w:styleId="6">
    <w:name w:val="Plain Text"/>
    <w:basedOn w:val="1"/>
    <w:link w:val="34"/>
    <w:qFormat/>
    <w:uiPriority w:val="0"/>
    <w:pPr>
      <w:widowControl w:val="0"/>
      <w:adjustRightInd/>
      <w:snapToGrid/>
      <w:spacing w:after="0"/>
      <w:jc w:val="both"/>
    </w:pPr>
    <w:rPr>
      <w:rFonts w:ascii="宋体" w:hAnsi="Courier New" w:eastAsia="宋体" w:cs="Times New Roman"/>
      <w:b/>
      <w:kern w:val="2"/>
      <w:sz w:val="21"/>
      <w:szCs w:val="20"/>
    </w:rPr>
  </w:style>
  <w:style w:type="paragraph" w:styleId="7">
    <w:name w:val="Balloon Text"/>
    <w:basedOn w:val="1"/>
    <w:link w:val="37"/>
    <w:semiHidden/>
    <w:unhideWhenUsed/>
    <w:qFormat/>
    <w:uiPriority w:val="99"/>
    <w:pPr>
      <w:spacing w:after="0"/>
    </w:pPr>
    <w:rPr>
      <w:sz w:val="18"/>
      <w:szCs w:val="18"/>
    </w:rPr>
  </w:style>
  <w:style w:type="paragraph" w:styleId="8">
    <w:name w:val="footer"/>
    <w:basedOn w:val="1"/>
    <w:link w:val="36"/>
    <w:unhideWhenUsed/>
    <w:qFormat/>
    <w:uiPriority w:val="99"/>
    <w:pPr>
      <w:tabs>
        <w:tab w:val="center" w:pos="4153"/>
        <w:tab w:val="right" w:pos="8306"/>
      </w:tabs>
    </w:pPr>
    <w:rPr>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semiHidden/>
    <w:unhideWhenUsed/>
    <w:qFormat/>
    <w:uiPriority w:val="39"/>
  </w:style>
  <w:style w:type="paragraph" w:styleId="11">
    <w:name w:val="toc 4"/>
    <w:basedOn w:val="1"/>
    <w:next w:val="1"/>
    <w:unhideWhenUsed/>
    <w:qFormat/>
    <w:uiPriority w:val="39"/>
    <w:pPr>
      <w:tabs>
        <w:tab w:val="right" w:leader="dot" w:pos="8296"/>
      </w:tabs>
      <w:spacing w:after="120"/>
      <w:ind w:left="1320" w:leftChars="600"/>
    </w:pPr>
  </w:style>
  <w:style w:type="paragraph" w:styleId="12">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3">
    <w:name w:val="Normal (Web)"/>
    <w:basedOn w:val="1"/>
    <w:link w:val="39"/>
    <w:qFormat/>
    <w:uiPriority w:val="0"/>
    <w:pPr>
      <w:widowControl w:val="0"/>
      <w:adjustRightInd/>
      <w:snapToGrid/>
      <w:spacing w:after="0"/>
      <w:jc w:val="both"/>
    </w:pPr>
    <w:rPr>
      <w:rFonts w:eastAsia="宋体" w:asciiTheme="minorHAnsi" w:hAnsiTheme="minorHAnsi"/>
      <w:kern w:val="2"/>
      <w:sz w:val="24"/>
      <w:szCs w:val="24"/>
    </w:rPr>
  </w:style>
  <w:style w:type="character" w:styleId="15">
    <w:name w:val="FollowedHyperlink"/>
    <w:basedOn w:val="14"/>
    <w:semiHidden/>
    <w:unhideWhenUsed/>
    <w:qFormat/>
    <w:uiPriority w:val="99"/>
    <w:rPr>
      <w:rFonts w:hint="eastAsia" w:ascii="宋体" w:hAnsi="宋体" w:eastAsia="宋体" w:cs="宋体"/>
      <w:color w:val="0031C1"/>
      <w:sz w:val="18"/>
      <w:szCs w:val="18"/>
      <w:u w:val="none"/>
    </w:rPr>
  </w:style>
  <w:style w:type="character" w:styleId="16">
    <w:name w:val="Emphasis"/>
    <w:basedOn w:val="14"/>
    <w:qFormat/>
    <w:uiPriority w:val="20"/>
    <w:rPr>
      <w:i/>
      <w:iCs/>
    </w:rPr>
  </w:style>
  <w:style w:type="character" w:styleId="17">
    <w:name w:val="Hyperlink"/>
    <w:qFormat/>
    <w:uiPriority w:val="99"/>
    <w:rPr>
      <w:rFonts w:hint="eastAsia" w:ascii="宋体" w:hAnsi="宋体" w:eastAsia="宋体" w:cs="宋体"/>
      <w:b/>
      <w:color w:val="0031C1"/>
      <w:kern w:val="0"/>
      <w:sz w:val="18"/>
      <w:szCs w:val="18"/>
      <w:u w:val="none"/>
      <w:lang w:eastAsia="en-US"/>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2 Char"/>
    <w:basedOn w:val="14"/>
    <w:link w:val="2"/>
    <w:qFormat/>
    <w:uiPriority w:val="9"/>
    <w:rPr>
      <w:rFonts w:asciiTheme="majorHAnsi" w:hAnsiTheme="majorHAnsi" w:eastAsiaTheme="majorEastAsia" w:cstheme="majorBidi"/>
      <w:b/>
      <w:bCs/>
      <w:sz w:val="32"/>
      <w:szCs w:val="32"/>
    </w:rPr>
  </w:style>
  <w:style w:type="character" w:customStyle="1" w:styleId="21">
    <w:name w:val="标题 3 Char"/>
    <w:basedOn w:val="14"/>
    <w:link w:val="3"/>
    <w:qFormat/>
    <w:uiPriority w:val="9"/>
    <w:rPr>
      <w:rFonts w:ascii="Tahoma" w:hAnsi="Tahoma"/>
      <w:b/>
      <w:bCs/>
      <w:sz w:val="32"/>
      <w:szCs w:val="32"/>
    </w:rPr>
  </w:style>
  <w:style w:type="paragraph" w:styleId="22">
    <w:name w:val="List Paragraph"/>
    <w:basedOn w:val="1"/>
    <w:qFormat/>
    <w:uiPriority w:val="34"/>
    <w:pPr>
      <w:ind w:firstLine="420" w:firstLineChars="200"/>
    </w:pPr>
  </w:style>
  <w:style w:type="character" w:customStyle="1" w:styleId="23">
    <w:name w:val="标题 4 Char"/>
    <w:basedOn w:val="14"/>
    <w:link w:val="4"/>
    <w:qFormat/>
    <w:uiPriority w:val="9"/>
    <w:rPr>
      <w:rFonts w:asciiTheme="majorHAnsi" w:hAnsiTheme="majorHAnsi" w:eastAsiaTheme="majorEastAsia" w:cstheme="majorBidi"/>
      <w:b/>
      <w:bCs/>
      <w:sz w:val="28"/>
      <w:szCs w:val="28"/>
    </w:rPr>
  </w:style>
  <w:style w:type="character" w:customStyle="1" w:styleId="24">
    <w:name w:val="正文缩进2格 Char"/>
    <w:link w:val="25"/>
    <w:qFormat/>
    <w:uiPriority w:val="0"/>
    <w:rPr>
      <w:rFonts w:ascii="仿宋_GB2312" w:hAnsi="宋体" w:eastAsia="仿宋_GB2312"/>
      <w:kern w:val="2"/>
      <w:sz w:val="31"/>
    </w:rPr>
  </w:style>
  <w:style w:type="paragraph" w:customStyle="1" w:styleId="25">
    <w:name w:val="正文缩进2格"/>
    <w:basedOn w:val="1"/>
    <w:link w:val="24"/>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6">
    <w:name w:val="正文缩进4格"/>
    <w:basedOn w:val="25"/>
    <w:qFormat/>
    <w:uiPriority w:val="0"/>
    <w:pPr>
      <w:ind w:left="2" w:firstLine="538" w:firstLineChars="192"/>
    </w:pPr>
    <w:rPr>
      <w:color w:val="0000FF"/>
      <w:sz w:val="28"/>
    </w:rPr>
  </w:style>
  <w:style w:type="character" w:customStyle="1" w:styleId="27">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28">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29">
    <w:name w:val="title"/>
    <w:qFormat/>
    <w:uiPriority w:val="0"/>
    <w:rPr>
      <w:rFonts w:ascii="Times New Roman" w:hAnsi="Times New Roman" w:eastAsia="宋体" w:cs="Times New Roman"/>
      <w:b/>
      <w:kern w:val="0"/>
      <w:sz w:val="24"/>
      <w:szCs w:val="20"/>
      <w:lang w:eastAsia="en-US"/>
    </w:rPr>
  </w:style>
  <w:style w:type="character" w:customStyle="1" w:styleId="30">
    <w:name w:val="标题 3.1 Char"/>
    <w:link w:val="31"/>
    <w:qFormat/>
    <w:uiPriority w:val="0"/>
    <w:rPr>
      <w:rFonts w:ascii="宋体" w:hAnsi="宋体" w:eastAsia="宋体"/>
      <w:b/>
      <w:color w:val="FF0000"/>
      <w:kern w:val="2"/>
      <w:sz w:val="32"/>
    </w:rPr>
  </w:style>
  <w:style w:type="paragraph" w:customStyle="1" w:styleId="31">
    <w:name w:val="标题 3.1"/>
    <w:basedOn w:val="3"/>
    <w:link w:val="30"/>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2">
    <w:name w:val="样式 楷体_GB2312 小四"/>
    <w:qFormat/>
    <w:uiPriority w:val="0"/>
    <w:rPr>
      <w:rFonts w:ascii="楷体_GB2312" w:hAnsi="楷体_GB2312" w:eastAsia="仿宋_GB2312"/>
      <w:sz w:val="24"/>
    </w:rPr>
  </w:style>
  <w:style w:type="character" w:customStyle="1" w:styleId="33">
    <w:name w:val="纯文本 Char"/>
    <w:link w:val="6"/>
    <w:qFormat/>
    <w:uiPriority w:val="0"/>
    <w:rPr>
      <w:rFonts w:ascii="宋体" w:hAnsi="Courier New" w:eastAsia="宋体" w:cs="Times New Roman"/>
      <w:b/>
      <w:kern w:val="2"/>
      <w:sz w:val="21"/>
      <w:szCs w:val="20"/>
    </w:rPr>
  </w:style>
  <w:style w:type="character" w:customStyle="1" w:styleId="34">
    <w:name w:val="纯文本 Char1"/>
    <w:basedOn w:val="14"/>
    <w:link w:val="6"/>
    <w:semiHidden/>
    <w:qFormat/>
    <w:uiPriority w:val="99"/>
    <w:rPr>
      <w:rFonts w:ascii="宋体" w:hAnsi="Courier New" w:eastAsia="宋体" w:cs="Courier New"/>
      <w:sz w:val="21"/>
      <w:szCs w:val="21"/>
    </w:rPr>
  </w:style>
  <w:style w:type="character" w:customStyle="1" w:styleId="35">
    <w:name w:val="页眉 Char"/>
    <w:basedOn w:val="14"/>
    <w:link w:val="9"/>
    <w:qFormat/>
    <w:uiPriority w:val="99"/>
    <w:rPr>
      <w:rFonts w:ascii="Tahoma" w:hAnsi="Tahoma"/>
      <w:sz w:val="18"/>
      <w:szCs w:val="18"/>
    </w:rPr>
  </w:style>
  <w:style w:type="character" w:customStyle="1" w:styleId="36">
    <w:name w:val="页脚 Char"/>
    <w:basedOn w:val="14"/>
    <w:link w:val="8"/>
    <w:qFormat/>
    <w:uiPriority w:val="99"/>
    <w:rPr>
      <w:rFonts w:ascii="Tahoma" w:hAnsi="Tahoma"/>
      <w:sz w:val="18"/>
      <w:szCs w:val="18"/>
    </w:rPr>
  </w:style>
  <w:style w:type="character" w:customStyle="1" w:styleId="37">
    <w:name w:val="批注框文本 Char"/>
    <w:basedOn w:val="14"/>
    <w:link w:val="7"/>
    <w:semiHidden/>
    <w:qFormat/>
    <w:uiPriority w:val="99"/>
    <w:rPr>
      <w:rFonts w:ascii="Tahoma" w:hAnsi="Tahoma"/>
      <w:sz w:val="18"/>
      <w:szCs w:val="18"/>
    </w:rPr>
  </w:style>
  <w:style w:type="paragraph" w:customStyle="1" w:styleId="38">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39">
    <w:name w:val="普通(网站) Char"/>
    <w:link w:val="13"/>
    <w:qFormat/>
    <w:uiPriority w:val="0"/>
    <w:rPr>
      <w:rFonts w:eastAsia="宋体"/>
      <w:kern w:val="2"/>
      <w:sz w:val="24"/>
      <w:szCs w:val="24"/>
    </w:rPr>
  </w:style>
  <w:style w:type="paragraph" w:customStyle="1" w:styleId="40">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1">
    <w:name w:val="p141"/>
    <w:qFormat/>
    <w:uiPriority w:val="0"/>
    <w:rPr>
      <w:sz w:val="21"/>
      <w:szCs w:val="21"/>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8"/>
      <w:szCs w:val="28"/>
      <w:lang w:val="en-US" w:eastAsia="zh-CN" w:bidi="ar-SA"/>
    </w:rPr>
  </w:style>
  <w:style w:type="paragraph" w:customStyle="1" w:styleId="4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p0"/>
    <w:basedOn w:val="1"/>
    <w:qFormat/>
    <w:uiPriority w:val="0"/>
    <w:pPr>
      <w:widowControl/>
    </w:pPr>
    <w:rPr>
      <w:kern w:val="0"/>
      <w:sz w:val="32"/>
      <w:szCs w:val="32"/>
    </w:rPr>
  </w:style>
  <w:style w:type="paragraph" w:customStyle="1" w:styleId="46">
    <w:name w:val="图"/>
    <w:basedOn w:val="1"/>
    <w:qFormat/>
    <w:uiPriority w:val="0"/>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8">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character" w:customStyle="1" w:styleId="49">
    <w:name w:val="hilite6"/>
    <w:basedOn w:val="14"/>
    <w:qFormat/>
    <w:uiPriority w:val="0"/>
    <w:rPr>
      <w:color w:val="000000"/>
    </w:rPr>
  </w:style>
  <w:style w:type="character" w:customStyle="1" w:styleId="50">
    <w:name w:val="required"/>
    <w:basedOn w:val="14"/>
    <w:qFormat/>
    <w:uiPriority w:val="0"/>
    <w:rPr>
      <w:color w:val="FF0000"/>
    </w:rPr>
  </w:style>
  <w:style w:type="character" w:customStyle="1" w:styleId="51">
    <w:name w:val="fielderror"/>
    <w:basedOn w:val="14"/>
    <w:qFormat/>
    <w:uiPriority w:val="0"/>
    <w:rPr>
      <w:color w:val="800000"/>
    </w:rPr>
  </w:style>
  <w:style w:type="character" w:customStyle="1" w:styleId="52">
    <w:name w:val="tab1"/>
    <w:basedOn w:val="14"/>
    <w:qFormat/>
    <w:uiPriority w:val="0"/>
  </w:style>
  <w:style w:type="character" w:customStyle="1" w:styleId="53">
    <w:name w:val="tab2"/>
    <w:basedOn w:val="14"/>
    <w:qFormat/>
    <w:uiPriority w:val="0"/>
    <w:rPr>
      <w:color w:val="333366"/>
    </w:rPr>
  </w:style>
  <w:style w:type="character" w:customStyle="1" w:styleId="54">
    <w:name w:val="active6"/>
    <w:basedOn w:val="14"/>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F16FE-B047-4FB4-8B6A-B28E74593F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4820</Words>
  <Characters>27480</Characters>
  <Lines>229</Lines>
  <Paragraphs>64</Paragraphs>
  <TotalTime>9</TotalTime>
  <ScaleCrop>false</ScaleCrop>
  <LinksUpToDate>false</LinksUpToDate>
  <CharactersWithSpaces>32236</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三方诚信</cp:lastModifiedBy>
  <cp:lastPrinted>2018-08-16T03:57:00Z</cp:lastPrinted>
  <dcterms:modified xsi:type="dcterms:W3CDTF">2018-08-22T07:37:03Z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